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5E" w:rsidRPr="0017135E" w:rsidRDefault="0017135E" w:rsidP="0017135E">
      <w:pPr>
        <w:rPr>
          <w:rFonts w:ascii="Times New Roman" w:hAnsi="Times New Roman" w:cs="Times New Roman"/>
          <w:sz w:val="26"/>
          <w:szCs w:val="26"/>
        </w:rPr>
      </w:pPr>
      <w:r w:rsidRPr="0017135E">
        <w:rPr>
          <w:rFonts w:ascii="Times New Roman" w:hAnsi="Times New Roman" w:cs="Times New Roman"/>
          <w:sz w:val="26"/>
          <w:szCs w:val="26"/>
        </w:rPr>
        <w:t>INTERNATIONAL JOURNAL OF VOCATIONAL EDUCATION (IJOVED), Vol. 13(1), November 2023</w:t>
      </w:r>
    </w:p>
    <w:p w:rsidR="0017135E" w:rsidRPr="0017135E" w:rsidRDefault="0017135E" w:rsidP="0017135E">
      <w:pPr>
        <w:spacing w:line="240" w:lineRule="auto"/>
        <w:jc w:val="center"/>
        <w:rPr>
          <w:rFonts w:ascii="Times New Roman" w:hAnsi="Times New Roman" w:cs="Times New Roman"/>
          <w:sz w:val="26"/>
          <w:szCs w:val="26"/>
        </w:rPr>
      </w:pPr>
    </w:p>
    <w:p w:rsidR="0017135E" w:rsidRPr="0017135E" w:rsidRDefault="0017135E" w:rsidP="0017135E">
      <w:pPr>
        <w:spacing w:after="0" w:line="240" w:lineRule="auto"/>
        <w:jc w:val="center"/>
        <w:rPr>
          <w:rFonts w:ascii="Times New Roman" w:hAnsi="Times New Roman" w:cs="Times New Roman"/>
          <w:b/>
          <w:sz w:val="26"/>
          <w:szCs w:val="26"/>
        </w:rPr>
      </w:pPr>
    </w:p>
    <w:p w:rsidR="0017135E" w:rsidRPr="0017135E" w:rsidRDefault="0017135E" w:rsidP="0017135E">
      <w:pPr>
        <w:spacing w:after="0" w:line="240" w:lineRule="auto"/>
        <w:jc w:val="center"/>
        <w:rPr>
          <w:rFonts w:ascii="Times New Roman" w:hAnsi="Times New Roman" w:cs="Times New Roman"/>
          <w:b/>
          <w:sz w:val="26"/>
          <w:szCs w:val="26"/>
        </w:rPr>
      </w:pPr>
    </w:p>
    <w:p w:rsidR="0017135E" w:rsidRPr="0017135E" w:rsidRDefault="0017135E" w:rsidP="0017135E">
      <w:pPr>
        <w:spacing w:after="0" w:line="240" w:lineRule="auto"/>
        <w:jc w:val="center"/>
        <w:rPr>
          <w:rFonts w:ascii="Times New Roman" w:hAnsi="Times New Roman" w:cs="Times New Roman"/>
          <w:b/>
          <w:sz w:val="26"/>
          <w:szCs w:val="26"/>
        </w:rPr>
      </w:pPr>
    </w:p>
    <w:p w:rsidR="0017135E" w:rsidRPr="0017135E" w:rsidRDefault="0017135E" w:rsidP="0017135E">
      <w:pPr>
        <w:spacing w:after="0" w:line="240" w:lineRule="auto"/>
        <w:jc w:val="center"/>
        <w:rPr>
          <w:rFonts w:ascii="Times New Roman" w:hAnsi="Times New Roman" w:cs="Times New Roman"/>
          <w:b/>
          <w:sz w:val="26"/>
          <w:szCs w:val="26"/>
        </w:rPr>
      </w:pPr>
    </w:p>
    <w:p w:rsidR="0017135E" w:rsidRPr="00335D78" w:rsidRDefault="0017135E" w:rsidP="0017135E">
      <w:pPr>
        <w:spacing w:after="0" w:line="240" w:lineRule="auto"/>
        <w:jc w:val="center"/>
        <w:rPr>
          <w:rFonts w:ascii="Times New Roman" w:hAnsi="Times New Roman" w:cs="Times New Roman"/>
          <w:b/>
          <w:sz w:val="42"/>
          <w:szCs w:val="26"/>
        </w:rPr>
      </w:pPr>
    </w:p>
    <w:p w:rsidR="0017135E" w:rsidRPr="00335D78" w:rsidRDefault="0017135E" w:rsidP="0017135E">
      <w:pPr>
        <w:spacing w:after="0" w:line="240" w:lineRule="auto"/>
        <w:jc w:val="center"/>
        <w:rPr>
          <w:rFonts w:ascii="Times New Roman" w:hAnsi="Times New Roman" w:cs="Times New Roman"/>
          <w:b/>
          <w:sz w:val="42"/>
          <w:szCs w:val="26"/>
        </w:rPr>
      </w:pPr>
      <w:r w:rsidRPr="00335D78">
        <w:rPr>
          <w:rFonts w:ascii="Times New Roman" w:hAnsi="Times New Roman" w:cs="Times New Roman"/>
          <w:b/>
          <w:sz w:val="42"/>
          <w:szCs w:val="26"/>
        </w:rPr>
        <w:t>INTERNATIONAL</w:t>
      </w:r>
    </w:p>
    <w:p w:rsidR="0017135E" w:rsidRPr="00335D78" w:rsidRDefault="0017135E" w:rsidP="0017135E">
      <w:pPr>
        <w:spacing w:after="0" w:line="240" w:lineRule="auto"/>
        <w:jc w:val="center"/>
        <w:rPr>
          <w:rFonts w:ascii="Times New Roman" w:hAnsi="Times New Roman" w:cs="Times New Roman"/>
          <w:b/>
          <w:sz w:val="42"/>
          <w:szCs w:val="26"/>
        </w:rPr>
      </w:pPr>
      <w:r w:rsidRPr="00335D78">
        <w:rPr>
          <w:rFonts w:ascii="Times New Roman" w:hAnsi="Times New Roman" w:cs="Times New Roman"/>
          <w:b/>
          <w:sz w:val="42"/>
          <w:szCs w:val="26"/>
        </w:rPr>
        <w:t>JOURNAL OF VOCATIONAL</w:t>
      </w:r>
    </w:p>
    <w:p w:rsidR="0017135E" w:rsidRPr="00335D78" w:rsidRDefault="0017135E" w:rsidP="0017135E">
      <w:pPr>
        <w:spacing w:after="0" w:line="240" w:lineRule="auto"/>
        <w:jc w:val="center"/>
        <w:rPr>
          <w:rFonts w:ascii="Times New Roman" w:hAnsi="Times New Roman" w:cs="Times New Roman"/>
          <w:b/>
          <w:sz w:val="42"/>
          <w:szCs w:val="26"/>
        </w:rPr>
      </w:pPr>
      <w:r w:rsidRPr="00335D78">
        <w:rPr>
          <w:rFonts w:ascii="Times New Roman" w:hAnsi="Times New Roman" w:cs="Times New Roman"/>
          <w:b/>
          <w:sz w:val="42"/>
          <w:szCs w:val="26"/>
        </w:rPr>
        <w:t>EDUCATION</w:t>
      </w:r>
    </w:p>
    <w:p w:rsidR="0017135E" w:rsidRPr="00335D78" w:rsidRDefault="0017135E" w:rsidP="0017135E">
      <w:pPr>
        <w:spacing w:line="240" w:lineRule="auto"/>
        <w:rPr>
          <w:rFonts w:ascii="Times New Roman" w:hAnsi="Times New Roman" w:cs="Times New Roman"/>
          <w:sz w:val="42"/>
          <w:szCs w:val="26"/>
        </w:rPr>
      </w:pPr>
    </w:p>
    <w:p w:rsidR="0017135E" w:rsidRPr="00335D78" w:rsidRDefault="0017135E" w:rsidP="0017135E">
      <w:pPr>
        <w:spacing w:after="0" w:line="240" w:lineRule="auto"/>
        <w:jc w:val="center"/>
        <w:rPr>
          <w:rFonts w:ascii="Times New Roman" w:hAnsi="Times New Roman" w:cs="Times New Roman"/>
          <w:b/>
          <w:sz w:val="42"/>
          <w:szCs w:val="26"/>
        </w:rPr>
      </w:pPr>
      <w:r w:rsidRPr="00335D78">
        <w:rPr>
          <w:rFonts w:ascii="Times New Roman" w:hAnsi="Times New Roman" w:cs="Times New Roman"/>
          <w:b/>
          <w:sz w:val="42"/>
          <w:szCs w:val="26"/>
        </w:rPr>
        <w:t>VOLUME 13, NO. 1, NOVEMBER 2023</w:t>
      </w:r>
    </w:p>
    <w:p w:rsidR="0017135E" w:rsidRPr="00335D78" w:rsidRDefault="0017135E" w:rsidP="0017135E">
      <w:pPr>
        <w:spacing w:line="240" w:lineRule="auto"/>
        <w:jc w:val="center"/>
        <w:rPr>
          <w:rFonts w:ascii="Times New Roman" w:hAnsi="Times New Roman" w:cs="Times New Roman"/>
          <w:b/>
          <w:sz w:val="42"/>
          <w:szCs w:val="26"/>
        </w:rPr>
      </w:pPr>
    </w:p>
    <w:p w:rsidR="0017135E" w:rsidRPr="0017135E" w:rsidRDefault="0017135E" w:rsidP="0017135E">
      <w:pPr>
        <w:spacing w:line="240" w:lineRule="auto"/>
        <w:rPr>
          <w:rFonts w:ascii="Times New Roman" w:hAnsi="Times New Roman" w:cs="Times New Roman"/>
          <w:sz w:val="26"/>
          <w:szCs w:val="26"/>
        </w:rPr>
      </w:pPr>
    </w:p>
    <w:p w:rsidR="0017135E" w:rsidRDefault="0017135E" w:rsidP="0017135E">
      <w:pPr>
        <w:spacing w:line="240" w:lineRule="auto"/>
        <w:rPr>
          <w:rFonts w:ascii="Times New Roman" w:hAnsi="Times New Roman" w:cs="Times New Roman"/>
          <w:sz w:val="26"/>
          <w:szCs w:val="26"/>
        </w:rPr>
      </w:pPr>
    </w:p>
    <w:p w:rsidR="00335D78" w:rsidRDefault="00335D78" w:rsidP="0017135E">
      <w:pPr>
        <w:spacing w:line="240" w:lineRule="auto"/>
        <w:rPr>
          <w:rFonts w:ascii="Times New Roman" w:hAnsi="Times New Roman" w:cs="Times New Roman"/>
          <w:sz w:val="26"/>
          <w:szCs w:val="26"/>
        </w:rPr>
      </w:pPr>
    </w:p>
    <w:p w:rsidR="00335D78" w:rsidRPr="0017135E" w:rsidRDefault="00335D78" w:rsidP="0017135E">
      <w:pPr>
        <w:spacing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p>
    <w:p w:rsidR="0017135E" w:rsidRPr="0017135E" w:rsidRDefault="0017135E" w:rsidP="0017135E">
      <w:pPr>
        <w:spacing w:after="0" w:line="240" w:lineRule="auto"/>
        <w:jc w:val="center"/>
        <w:rPr>
          <w:rFonts w:ascii="Times New Roman" w:hAnsi="Times New Roman" w:cs="Times New Roman"/>
          <w:sz w:val="26"/>
          <w:szCs w:val="26"/>
        </w:rPr>
      </w:pPr>
      <w:r w:rsidRPr="0017135E">
        <w:rPr>
          <w:rFonts w:ascii="Times New Roman" w:hAnsi="Times New Roman" w:cs="Times New Roman"/>
          <w:sz w:val="26"/>
          <w:szCs w:val="26"/>
        </w:rPr>
        <w:t>International Journal of Vocational Education (IJOVED) is a peer-reviewed publication of the Vocational Education, University of Calabar, Calabar</w:t>
      </w:r>
    </w:p>
    <w:p w:rsidR="0017135E" w:rsidRPr="0017135E" w:rsidRDefault="00330E99" w:rsidP="0017135E">
      <w:pPr>
        <w:spacing w:line="240" w:lineRule="auto"/>
        <w:jc w:val="center"/>
        <w:rPr>
          <w:rFonts w:ascii="Times New Roman" w:hAnsi="Times New Roman" w:cs="Times New Roman"/>
          <w:b/>
          <w:color w:val="000000" w:themeColor="text1"/>
          <w:sz w:val="26"/>
          <w:szCs w:val="26"/>
        </w:rPr>
      </w:pPr>
      <w:hyperlink r:id="rId8" w:history="1">
        <w:r w:rsidR="0017135E" w:rsidRPr="0017135E">
          <w:rPr>
            <w:rStyle w:val="Hyperlink"/>
            <w:color w:val="000000" w:themeColor="text1"/>
            <w:sz w:val="26"/>
            <w:szCs w:val="26"/>
          </w:rPr>
          <w:t>www.ijorved.com</w:t>
        </w:r>
      </w:hyperlink>
    </w:p>
    <w:p w:rsidR="0017135E" w:rsidRPr="0017135E" w:rsidRDefault="0017135E" w:rsidP="0017135E">
      <w:pPr>
        <w:spacing w:line="240" w:lineRule="auto"/>
        <w:rPr>
          <w:rFonts w:ascii="Times New Roman" w:hAnsi="Times New Roman" w:cs="Times New Roman"/>
          <w:b/>
          <w:sz w:val="26"/>
          <w:szCs w:val="26"/>
        </w:rPr>
      </w:pPr>
      <w:r w:rsidRPr="0017135E">
        <w:rPr>
          <w:rFonts w:ascii="Times New Roman" w:hAnsi="Times New Roman" w:cs="Times New Roman"/>
          <w:sz w:val="26"/>
          <w:szCs w:val="26"/>
        </w:rPr>
        <w:br w:type="page"/>
      </w:r>
      <w:r w:rsidRPr="0017135E">
        <w:rPr>
          <w:rFonts w:ascii="Times New Roman" w:eastAsia="Times New Roman" w:hAnsi="Times New Roman" w:cs="Times New Roman"/>
          <w:i/>
          <w:sz w:val="26"/>
          <w:szCs w:val="26"/>
        </w:rPr>
        <w:lastRenderedPageBreak/>
        <w:t>Copy right ©</w:t>
      </w:r>
      <w:r w:rsidRPr="0017135E">
        <w:rPr>
          <w:rFonts w:ascii="Times New Roman" w:hAnsi="Times New Roman" w:cs="Times New Roman"/>
          <w:sz w:val="26"/>
          <w:szCs w:val="26"/>
        </w:rPr>
        <w:t>Vocational Education (Department of Agricultural Education, Department of Business Education, and Department of Home Economics Education), University of Calabar, Calabar – Nigeria, in conjunction with University of Calabar Printing Press</w:t>
      </w:r>
    </w:p>
    <w:p w:rsidR="0017135E" w:rsidRPr="0017135E" w:rsidRDefault="0017135E" w:rsidP="0017135E">
      <w:pPr>
        <w:spacing w:after="0" w:line="240" w:lineRule="auto"/>
        <w:rPr>
          <w:rFonts w:ascii="Times New Roman" w:hAnsi="Times New Roman" w:cs="Times New Roman"/>
          <w:b/>
          <w:sz w:val="26"/>
          <w:szCs w:val="26"/>
        </w:rPr>
      </w:pPr>
      <w:r w:rsidRPr="0017135E">
        <w:rPr>
          <w:rFonts w:ascii="Times New Roman" w:hAnsi="Times New Roman" w:cs="Times New Roman"/>
          <w:b/>
          <w:sz w:val="26"/>
          <w:szCs w:val="26"/>
        </w:rPr>
        <w:t>INTERNATIONAL JOURNAL OF VOCATIONAL EDUCATION</w:t>
      </w:r>
    </w:p>
    <w:p w:rsidR="0017135E" w:rsidRPr="0017135E" w:rsidRDefault="0017135E" w:rsidP="0017135E">
      <w:pPr>
        <w:spacing w:after="0" w:line="240" w:lineRule="auto"/>
        <w:rPr>
          <w:rFonts w:ascii="Times New Roman" w:hAnsi="Times New Roman" w:cs="Times New Roman"/>
          <w:b/>
          <w:sz w:val="26"/>
          <w:szCs w:val="26"/>
        </w:rPr>
      </w:pPr>
      <w:r w:rsidRPr="0017135E">
        <w:rPr>
          <w:rFonts w:ascii="Times New Roman" w:hAnsi="Times New Roman" w:cs="Times New Roman"/>
          <w:b/>
          <w:sz w:val="26"/>
          <w:szCs w:val="26"/>
        </w:rPr>
        <w:t>(IJOVED)  VOLUME 13,  NO. 1, NOVEMBER 2023</w:t>
      </w:r>
    </w:p>
    <w:p w:rsidR="0017135E" w:rsidRPr="0017135E" w:rsidRDefault="00330E99" w:rsidP="0017135E">
      <w:pPr>
        <w:spacing w:line="240" w:lineRule="auto"/>
        <w:rPr>
          <w:rFonts w:ascii="Times New Roman" w:hAnsi="Times New Roman" w:cs="Times New Roman"/>
          <w:b/>
          <w:color w:val="000000" w:themeColor="text1"/>
          <w:sz w:val="26"/>
          <w:szCs w:val="26"/>
        </w:rPr>
      </w:pPr>
      <w:hyperlink r:id="rId9" w:history="1">
        <w:r w:rsidR="0017135E" w:rsidRPr="0017135E">
          <w:rPr>
            <w:rStyle w:val="Hyperlink"/>
            <w:color w:val="000000" w:themeColor="text1"/>
            <w:sz w:val="26"/>
            <w:szCs w:val="26"/>
          </w:rPr>
          <w:t>www.ijorved.com</w:t>
        </w:r>
      </w:hyperlink>
    </w:p>
    <w:p w:rsidR="0017135E" w:rsidRPr="0017135E" w:rsidRDefault="0017135E" w:rsidP="0017135E">
      <w:pPr>
        <w:widowControl w:val="0"/>
        <w:spacing w:after="0" w:line="240" w:lineRule="auto"/>
        <w:jc w:val="both"/>
        <w:rPr>
          <w:rFonts w:ascii="Times New Roman" w:eastAsia="Times New Roman" w:hAnsi="Times New Roman" w:cs="Times New Roman"/>
          <w:b/>
          <w:sz w:val="26"/>
          <w:szCs w:val="26"/>
        </w:rPr>
      </w:pPr>
    </w:p>
    <w:p w:rsidR="0017135E" w:rsidRPr="0017135E" w:rsidRDefault="0017135E" w:rsidP="0017135E">
      <w:pPr>
        <w:spacing w:line="240" w:lineRule="auto"/>
        <w:rPr>
          <w:rFonts w:ascii="Times New Roman" w:hAnsi="Times New Roman" w:cs="Times New Roman"/>
          <w:sz w:val="26"/>
          <w:szCs w:val="26"/>
        </w:rPr>
      </w:pPr>
      <w:r w:rsidRPr="0017135E">
        <w:rPr>
          <w:rFonts w:ascii="Times New Roman" w:eastAsia="Times New Roman" w:hAnsi="Times New Roman" w:cs="Times New Roman"/>
          <w:sz w:val="26"/>
          <w:szCs w:val="26"/>
        </w:rPr>
        <w:t>@</w:t>
      </w:r>
      <w:r w:rsidRPr="0017135E">
        <w:rPr>
          <w:rFonts w:ascii="Times New Roman" w:hAnsi="Times New Roman" w:cs="Times New Roman"/>
          <w:sz w:val="26"/>
          <w:szCs w:val="26"/>
        </w:rPr>
        <w:t xml:space="preserve"> Vocational Education (Department of Agricultural Education, Department of Business Education, and Department of Home Economics Education), University of Calabar, Calabar -Nigeria</w:t>
      </w:r>
    </w:p>
    <w:p w:rsidR="0017135E" w:rsidRPr="0017135E" w:rsidRDefault="0017135E" w:rsidP="0017135E">
      <w:pPr>
        <w:widowControl w:val="0"/>
        <w:spacing w:after="0" w:line="240" w:lineRule="auto"/>
        <w:jc w:val="both"/>
        <w:rPr>
          <w:rFonts w:ascii="Times New Roman" w:eastAsia="Times New Roman" w:hAnsi="Times New Roman" w:cs="Times New Roman"/>
          <w:b/>
          <w:sz w:val="26"/>
          <w:szCs w:val="26"/>
        </w:rPr>
      </w:pPr>
    </w:p>
    <w:p w:rsidR="0017135E" w:rsidRPr="0017135E" w:rsidRDefault="0017135E" w:rsidP="0017135E">
      <w:pPr>
        <w:widowControl w:val="0"/>
        <w:spacing w:after="0" w:line="240" w:lineRule="auto"/>
        <w:jc w:val="both"/>
        <w:rPr>
          <w:rFonts w:ascii="Times New Roman" w:eastAsia="Times New Roman" w:hAnsi="Times New Roman" w:cs="Times New Roman"/>
          <w:b/>
          <w:sz w:val="26"/>
          <w:szCs w:val="26"/>
        </w:rPr>
      </w:pPr>
      <w:r w:rsidRPr="0017135E">
        <w:rPr>
          <w:rFonts w:ascii="Times New Roman" w:eastAsia="Times New Roman" w:hAnsi="Times New Roman" w:cs="Times New Roman"/>
          <w:b/>
          <w:sz w:val="26"/>
          <w:szCs w:val="26"/>
        </w:rPr>
        <w:t>ISSN: 1596-3780</w:t>
      </w:r>
    </w:p>
    <w:p w:rsidR="0017135E" w:rsidRPr="0017135E" w:rsidRDefault="0017135E" w:rsidP="0017135E">
      <w:pPr>
        <w:widowControl w:val="0"/>
        <w:spacing w:after="0" w:line="240" w:lineRule="auto"/>
        <w:jc w:val="both"/>
        <w:rPr>
          <w:rFonts w:ascii="Times New Roman" w:eastAsia="Times New Roman" w:hAnsi="Times New Roman" w:cs="Times New Roman"/>
          <w:b/>
          <w:sz w:val="26"/>
          <w:szCs w:val="26"/>
        </w:rPr>
      </w:pPr>
    </w:p>
    <w:p w:rsidR="0017135E" w:rsidRPr="0017135E" w:rsidRDefault="0017135E" w:rsidP="0017135E">
      <w:pPr>
        <w:widowControl w:val="0"/>
        <w:spacing w:after="0" w:line="240" w:lineRule="auto"/>
        <w:jc w:val="both"/>
        <w:rPr>
          <w:rFonts w:ascii="Times New Roman" w:eastAsia="Times New Roman" w:hAnsi="Times New Roman" w:cs="Times New Roman"/>
          <w:b/>
          <w:sz w:val="26"/>
          <w:szCs w:val="26"/>
        </w:rPr>
      </w:pPr>
    </w:p>
    <w:p w:rsidR="0017135E" w:rsidRPr="0017135E" w:rsidRDefault="0017135E" w:rsidP="0017135E">
      <w:pPr>
        <w:spacing w:after="0" w:line="240" w:lineRule="auto"/>
        <w:jc w:val="both"/>
        <w:rPr>
          <w:rFonts w:ascii="Times New Roman" w:hAnsi="Times New Roman" w:cs="Times New Roman"/>
          <w:b/>
          <w:color w:val="000000"/>
          <w:sz w:val="26"/>
          <w:szCs w:val="26"/>
        </w:rPr>
      </w:pPr>
      <w:r w:rsidRPr="0017135E">
        <w:rPr>
          <w:rFonts w:ascii="Times New Roman" w:hAnsi="Times New Roman" w:cs="Times New Roman"/>
          <w:b/>
          <w:color w:val="000000"/>
          <w:sz w:val="26"/>
          <w:szCs w:val="26"/>
        </w:rPr>
        <w:t xml:space="preserve">Published by: </w:t>
      </w:r>
    </w:p>
    <w:p w:rsidR="0017135E" w:rsidRPr="0017135E" w:rsidRDefault="00330E99" w:rsidP="0017135E">
      <w:pPr>
        <w:spacing w:after="0" w:line="240" w:lineRule="auto"/>
        <w:ind w:left="1260"/>
        <w:jc w:val="both"/>
        <w:rPr>
          <w:rFonts w:ascii="Times New Roman" w:hAnsi="Times New Roman" w:cs="Times New Roman"/>
          <w:color w:val="000000"/>
          <w:sz w:val="26"/>
          <w:szCs w:val="26"/>
        </w:rPr>
      </w:pPr>
      <w:r w:rsidRPr="00330E99">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" filled="f" stroked="f">
            <v:textbox>
              <w:txbxContent>
                <w:p w:rsidR="004A2C18" w:rsidRDefault="004A2C18" w:rsidP="0017135E">
                  <w:r>
                    <w:rPr>
                      <w:noProof/>
                      <w:lang w:val="en-US" w:eastAsia="en-US"/>
                    </w:rPr>
                    <w:drawing>
                      <wp:inline distT="0" distB="0" distL="0" distR="0">
                        <wp:extent cx="788035" cy="914400"/>
                        <wp:effectExtent l="0" t="0" r="0" b="0"/>
                        <wp:docPr id="18"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sidR="0017135E" w:rsidRPr="0017135E">
        <w:rPr>
          <w:rFonts w:ascii="Times New Roman" w:hAnsi="Times New Roman" w:cs="Times New Roman"/>
          <w:color w:val="000000"/>
          <w:sz w:val="26"/>
          <w:szCs w:val="26"/>
        </w:rPr>
        <w:t>University of Calabar Press</w:t>
      </w:r>
    </w:p>
    <w:p w:rsidR="0017135E" w:rsidRPr="0017135E" w:rsidRDefault="0017135E" w:rsidP="0017135E">
      <w:pPr>
        <w:tabs>
          <w:tab w:val="left" w:pos="1260"/>
        </w:tabs>
        <w:spacing w:after="0" w:line="240" w:lineRule="auto"/>
        <w:jc w:val="both"/>
        <w:rPr>
          <w:rFonts w:ascii="Times New Roman" w:hAnsi="Times New Roman" w:cs="Times New Roman"/>
          <w:color w:val="000000"/>
          <w:sz w:val="26"/>
          <w:szCs w:val="26"/>
        </w:rPr>
      </w:pPr>
      <w:r w:rsidRPr="0017135E">
        <w:rPr>
          <w:rFonts w:ascii="Times New Roman" w:hAnsi="Times New Roman" w:cs="Times New Roman"/>
          <w:color w:val="000000"/>
          <w:sz w:val="26"/>
          <w:szCs w:val="26"/>
        </w:rPr>
        <w:tab/>
        <w:t xml:space="preserve">Calabar – Nigeria. </w:t>
      </w:r>
    </w:p>
    <w:p w:rsidR="0017135E" w:rsidRPr="0017135E" w:rsidRDefault="0017135E" w:rsidP="0017135E">
      <w:pPr>
        <w:tabs>
          <w:tab w:val="left" w:pos="1260"/>
        </w:tabs>
        <w:spacing w:after="0" w:line="240" w:lineRule="auto"/>
        <w:ind w:left="1260"/>
        <w:jc w:val="both"/>
        <w:rPr>
          <w:rFonts w:ascii="Times New Roman" w:hAnsi="Times New Roman" w:cs="Times New Roman"/>
          <w:color w:val="000000"/>
          <w:sz w:val="26"/>
          <w:szCs w:val="26"/>
        </w:rPr>
      </w:pPr>
      <w:r w:rsidRPr="0017135E">
        <w:rPr>
          <w:rFonts w:ascii="Times New Roman" w:hAnsi="Times New Roman" w:cs="Times New Roman"/>
          <w:color w:val="000000"/>
          <w:sz w:val="26"/>
          <w:szCs w:val="26"/>
        </w:rPr>
        <w:t>Email: mathiassunday440@gmail.com</w:t>
      </w:r>
    </w:p>
    <w:p w:rsidR="0017135E" w:rsidRPr="0017135E" w:rsidRDefault="0017135E" w:rsidP="0017135E">
      <w:pPr>
        <w:tabs>
          <w:tab w:val="left" w:pos="1260"/>
        </w:tabs>
        <w:spacing w:after="0" w:line="240" w:lineRule="auto"/>
        <w:rPr>
          <w:rFonts w:ascii="Times New Roman" w:hAnsi="Times New Roman" w:cs="Times New Roman"/>
          <w:color w:val="000000"/>
          <w:sz w:val="26"/>
          <w:szCs w:val="26"/>
        </w:rPr>
      </w:pPr>
      <w:r w:rsidRPr="0017135E">
        <w:rPr>
          <w:rFonts w:ascii="Times New Roman" w:hAnsi="Times New Roman" w:cs="Times New Roman"/>
          <w:color w:val="000000"/>
          <w:sz w:val="26"/>
          <w:szCs w:val="26"/>
        </w:rPr>
        <w:tab/>
        <w:t>Website: unicalpress.edu.ng</w:t>
      </w:r>
    </w:p>
    <w:p w:rsidR="0017135E" w:rsidRPr="0017135E" w:rsidRDefault="0017135E" w:rsidP="0017135E">
      <w:pPr>
        <w:tabs>
          <w:tab w:val="left" w:pos="1260"/>
        </w:tabs>
        <w:spacing w:after="0" w:line="240" w:lineRule="auto"/>
        <w:ind w:left="1260"/>
        <w:jc w:val="both"/>
        <w:rPr>
          <w:rFonts w:ascii="Times New Roman" w:hAnsi="Times New Roman" w:cs="Times New Roman"/>
          <w:color w:val="000000"/>
          <w:sz w:val="26"/>
          <w:szCs w:val="26"/>
        </w:rPr>
      </w:pPr>
      <w:r w:rsidRPr="0017135E">
        <w:rPr>
          <w:rFonts w:ascii="Times New Roman" w:hAnsi="Times New Roman" w:cs="Times New Roman"/>
          <w:color w:val="000000"/>
          <w:sz w:val="26"/>
          <w:szCs w:val="26"/>
        </w:rPr>
        <w:t xml:space="preserve">Telephone: +234 8061587467 </w:t>
      </w:r>
    </w:p>
    <w:p w:rsidR="0017135E" w:rsidRPr="0017135E" w:rsidRDefault="0017135E" w:rsidP="0017135E">
      <w:pPr>
        <w:tabs>
          <w:tab w:val="left" w:pos="1260"/>
        </w:tabs>
        <w:spacing w:after="0" w:line="240" w:lineRule="auto"/>
        <w:ind w:left="1260"/>
        <w:jc w:val="both"/>
        <w:rPr>
          <w:rFonts w:ascii="Times New Roman" w:hAnsi="Times New Roman" w:cs="Times New Roman"/>
          <w:color w:val="000000"/>
          <w:sz w:val="26"/>
          <w:szCs w:val="26"/>
        </w:rPr>
      </w:pPr>
      <w:r w:rsidRPr="0017135E">
        <w:rPr>
          <w:rFonts w:ascii="Times New Roman" w:hAnsi="Times New Roman" w:cs="Times New Roman"/>
          <w:color w:val="000000"/>
          <w:sz w:val="26"/>
          <w:szCs w:val="26"/>
        </w:rPr>
        <w:tab/>
      </w:r>
      <w:r w:rsidRPr="0017135E">
        <w:rPr>
          <w:rFonts w:ascii="Times New Roman" w:hAnsi="Times New Roman" w:cs="Times New Roman"/>
          <w:color w:val="000000"/>
          <w:sz w:val="26"/>
          <w:szCs w:val="26"/>
        </w:rPr>
        <w:tab/>
        <w:t xml:space="preserve">      +234 8062556950</w:t>
      </w:r>
    </w:p>
    <w:p w:rsidR="0017135E" w:rsidRPr="0017135E" w:rsidRDefault="0017135E" w:rsidP="0017135E">
      <w:pPr>
        <w:widowControl w:val="0"/>
        <w:autoSpaceDE w:val="0"/>
        <w:autoSpaceDN w:val="0"/>
        <w:adjustRightInd w:val="0"/>
        <w:spacing w:after="0" w:line="240" w:lineRule="auto"/>
        <w:jc w:val="both"/>
        <w:rPr>
          <w:rFonts w:ascii="Times New Roman" w:hAnsi="Times New Roman" w:cs="Times New Roman"/>
          <w:color w:val="000000"/>
          <w:sz w:val="26"/>
          <w:szCs w:val="26"/>
        </w:rPr>
      </w:pPr>
    </w:p>
    <w:p w:rsidR="0017135E" w:rsidRPr="0017135E" w:rsidRDefault="0017135E" w:rsidP="0017135E">
      <w:pPr>
        <w:spacing w:after="0" w:line="240" w:lineRule="auto"/>
        <w:ind w:right="569"/>
        <w:jc w:val="both"/>
        <w:rPr>
          <w:rFonts w:ascii="Times New Roman" w:hAnsi="Times New Roman" w:cs="Times New Roman"/>
          <w:color w:val="000000"/>
          <w:sz w:val="26"/>
          <w:szCs w:val="26"/>
        </w:rPr>
      </w:pPr>
      <w:r w:rsidRPr="0017135E">
        <w:rPr>
          <w:rFonts w:ascii="Times New Roman" w:hAnsi="Times New Roman" w:cs="Times New Roman"/>
          <w:b/>
          <w:color w:val="000000"/>
          <w:sz w:val="26"/>
          <w:szCs w:val="26"/>
        </w:rPr>
        <w:t>All rights reserved.</w:t>
      </w:r>
      <w:r w:rsidRPr="0017135E">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17135E" w:rsidRPr="0017135E" w:rsidRDefault="0017135E" w:rsidP="0017135E">
      <w:pPr>
        <w:spacing w:line="240" w:lineRule="auto"/>
        <w:jc w:val="both"/>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r w:rsidRPr="0017135E">
        <w:rPr>
          <w:rFonts w:ascii="Times New Roman" w:hAnsi="Times New Roman" w:cs="Times New Roman"/>
          <w:sz w:val="26"/>
          <w:szCs w:val="26"/>
        </w:rPr>
        <w:br w:type="page"/>
      </w:r>
    </w:p>
    <w:p w:rsidR="0017135E" w:rsidRPr="00484B2B" w:rsidRDefault="0017135E" w:rsidP="0017135E">
      <w:pPr>
        <w:spacing w:line="240" w:lineRule="auto"/>
        <w:jc w:val="center"/>
        <w:rPr>
          <w:rFonts w:ascii="Times New Roman" w:hAnsi="Times New Roman" w:cs="Times New Roman"/>
          <w:b/>
          <w:sz w:val="24"/>
          <w:szCs w:val="24"/>
        </w:rPr>
      </w:pPr>
    </w:p>
    <w:p w:rsidR="0017135E" w:rsidRPr="0017135E" w:rsidRDefault="0017135E" w:rsidP="0017135E">
      <w:pPr>
        <w:spacing w:line="240" w:lineRule="auto"/>
        <w:jc w:val="center"/>
        <w:rPr>
          <w:rFonts w:ascii="Times New Roman" w:hAnsi="Times New Roman" w:cs="Times New Roman"/>
          <w:b/>
          <w:sz w:val="26"/>
          <w:szCs w:val="26"/>
        </w:rPr>
      </w:pPr>
      <w:r w:rsidRPr="0017135E">
        <w:rPr>
          <w:rFonts w:ascii="Times New Roman" w:hAnsi="Times New Roman" w:cs="Times New Roman"/>
          <w:b/>
          <w:sz w:val="26"/>
          <w:szCs w:val="26"/>
        </w:rPr>
        <w:t>EDITORIAL BOARD</w:t>
      </w:r>
    </w:p>
    <w:p w:rsidR="0017135E" w:rsidRPr="0017135E" w:rsidRDefault="0017135E" w:rsidP="0017135E">
      <w:pPr>
        <w:spacing w:after="0" w:line="240" w:lineRule="auto"/>
        <w:jc w:val="center"/>
        <w:rPr>
          <w:rFonts w:ascii="Times New Roman" w:hAnsi="Times New Roman" w:cs="Times New Roman"/>
          <w:sz w:val="26"/>
          <w:szCs w:val="26"/>
        </w:rPr>
      </w:pPr>
      <w:r w:rsidRPr="0017135E">
        <w:rPr>
          <w:rFonts w:ascii="Times New Roman" w:hAnsi="Times New Roman" w:cs="Times New Roman"/>
          <w:sz w:val="26"/>
          <w:szCs w:val="26"/>
        </w:rPr>
        <w:t>INTERNATIONAL JOURNAL OF VOCATIONAL EDUCATION</w:t>
      </w:r>
    </w:p>
    <w:p w:rsidR="0017135E" w:rsidRPr="0017135E" w:rsidRDefault="0017135E" w:rsidP="0017135E">
      <w:pPr>
        <w:spacing w:after="0" w:line="240" w:lineRule="auto"/>
        <w:jc w:val="center"/>
        <w:rPr>
          <w:rFonts w:ascii="Times New Roman" w:hAnsi="Times New Roman" w:cs="Times New Roman"/>
          <w:sz w:val="26"/>
          <w:szCs w:val="26"/>
        </w:rPr>
      </w:pPr>
      <w:r w:rsidRPr="0017135E">
        <w:rPr>
          <w:rFonts w:ascii="Times New Roman" w:hAnsi="Times New Roman" w:cs="Times New Roman"/>
          <w:sz w:val="26"/>
          <w:szCs w:val="26"/>
        </w:rPr>
        <w:t>(IJOVED)</w:t>
      </w:r>
    </w:p>
    <w:p w:rsidR="0017135E" w:rsidRPr="0017135E" w:rsidRDefault="0017135E" w:rsidP="0017135E">
      <w:pPr>
        <w:spacing w:after="0" w:line="240" w:lineRule="auto"/>
        <w:jc w:val="both"/>
        <w:rPr>
          <w:rFonts w:ascii="Times New Roman" w:hAnsi="Times New Roman" w:cs="Times New Roman"/>
          <w:b/>
          <w:sz w:val="26"/>
          <w:szCs w:val="26"/>
        </w:rPr>
      </w:pP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Editorial Board of IJOVED</w:t>
      </w:r>
    </w:p>
    <w:p w:rsidR="0017135E" w:rsidRPr="0017135E" w:rsidRDefault="0017135E" w:rsidP="0017135E">
      <w:pPr>
        <w:spacing w:after="0" w:line="240" w:lineRule="auto"/>
        <w:jc w:val="both"/>
        <w:rPr>
          <w:rFonts w:ascii="Times New Roman" w:hAnsi="Times New Roman" w:cs="Times New Roman"/>
          <w:b/>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Editor-in-Chief</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b/>
          <w:sz w:val="26"/>
          <w:szCs w:val="26"/>
        </w:rPr>
        <w:t>Dr. A. L. Okute</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 Calabar - Nigeria</w:t>
      </w:r>
    </w:p>
    <w:p w:rsidR="0017135E" w:rsidRPr="0017135E" w:rsidRDefault="0017135E" w:rsidP="0017135E">
      <w:pPr>
        <w:spacing w:after="0" w:line="240" w:lineRule="auto"/>
        <w:jc w:val="both"/>
        <w:rPr>
          <w:rFonts w:ascii="Times New Roman" w:hAnsi="Times New Roman" w:cs="Times New Roman"/>
          <w:b/>
          <w:sz w:val="26"/>
          <w:szCs w:val="26"/>
        </w:rPr>
      </w:pP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sz w:val="26"/>
          <w:szCs w:val="26"/>
        </w:rPr>
        <w:t>Managing/Production Editor</w:t>
      </w: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Dr. E. E. Okon</w:t>
      </w: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University of Calabar - Nigeria</w:t>
      </w:r>
    </w:p>
    <w:p w:rsidR="0017135E" w:rsidRPr="0017135E" w:rsidRDefault="0017135E" w:rsidP="0017135E">
      <w:pPr>
        <w:spacing w:after="0" w:line="240" w:lineRule="auto"/>
        <w:jc w:val="both"/>
        <w:rPr>
          <w:rFonts w:ascii="Times New Roman" w:hAnsi="Times New Roman" w:cs="Times New Roman"/>
          <w:b/>
          <w:sz w:val="26"/>
          <w:szCs w:val="26"/>
        </w:rPr>
      </w:pPr>
    </w:p>
    <w:p w:rsidR="0017135E" w:rsidRPr="0017135E" w:rsidRDefault="0017135E" w:rsidP="0017135E">
      <w:pPr>
        <w:spacing w:after="0" w:line="240" w:lineRule="auto"/>
        <w:jc w:val="both"/>
        <w:rPr>
          <w:rFonts w:ascii="Times New Roman" w:hAnsi="Times New Roman" w:cs="Times New Roman"/>
          <w:bCs/>
          <w:sz w:val="26"/>
          <w:szCs w:val="26"/>
        </w:rPr>
      </w:pPr>
      <w:r w:rsidRPr="0017135E">
        <w:rPr>
          <w:rFonts w:ascii="Times New Roman" w:hAnsi="Times New Roman" w:cs="Times New Roman"/>
          <w:bCs/>
          <w:sz w:val="26"/>
          <w:szCs w:val="26"/>
        </w:rPr>
        <w:t>International Consulting Editors</w:t>
      </w: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Prof. Peter Neilson</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Publishing Editor</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Neilson Journals</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151 Whitehouse Publishing</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Edinburgh EH9 Loan</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Midlothian</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Scotland, UK</w:t>
      </w:r>
    </w:p>
    <w:p w:rsidR="0017135E" w:rsidRPr="0017135E" w:rsidRDefault="0017135E" w:rsidP="0017135E">
      <w:pPr>
        <w:spacing w:after="0" w:line="240" w:lineRule="auto"/>
        <w:jc w:val="both"/>
        <w:rPr>
          <w:rFonts w:ascii="Times New Roman" w:hAnsi="Times New Roman" w:cs="Times New Roman"/>
          <w:sz w:val="26"/>
          <w:szCs w:val="26"/>
        </w:rPr>
      </w:pP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Prof. M. A. Khan</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Divisional Coordinator of Internationalisation of the Business Faculty</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Technologico de Monterey, Campus Monterey, Mexico</w:t>
      </w:r>
    </w:p>
    <w:p w:rsidR="0017135E" w:rsidRPr="0017135E" w:rsidRDefault="0017135E" w:rsidP="0017135E">
      <w:pPr>
        <w:spacing w:after="0" w:line="240" w:lineRule="auto"/>
        <w:jc w:val="both"/>
        <w:rPr>
          <w:rFonts w:ascii="Times New Roman" w:hAnsi="Times New Roman" w:cs="Times New Roman"/>
          <w:sz w:val="26"/>
          <w:szCs w:val="26"/>
        </w:rPr>
      </w:pP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Prof. Bonaventure Wanjala Kerre</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Professor of Technology Education</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University of Eldoret, Eldoret – Kenya</w:t>
      </w:r>
    </w:p>
    <w:p w:rsidR="0017135E" w:rsidRPr="0017135E" w:rsidRDefault="0017135E" w:rsidP="0017135E">
      <w:pPr>
        <w:spacing w:after="0" w:line="240" w:lineRule="auto"/>
        <w:jc w:val="both"/>
        <w:rPr>
          <w:rFonts w:ascii="Times New Roman" w:hAnsi="Times New Roman" w:cs="Times New Roman"/>
          <w:sz w:val="26"/>
          <w:szCs w:val="26"/>
        </w:rPr>
      </w:pPr>
    </w:p>
    <w:p w:rsidR="0017135E" w:rsidRPr="0017135E" w:rsidRDefault="0017135E" w:rsidP="0017135E">
      <w:pPr>
        <w:spacing w:after="0" w:line="240" w:lineRule="auto"/>
        <w:jc w:val="both"/>
        <w:rPr>
          <w:rFonts w:ascii="Times New Roman" w:hAnsi="Times New Roman" w:cs="Times New Roman"/>
          <w:bCs/>
          <w:sz w:val="26"/>
          <w:szCs w:val="26"/>
        </w:rPr>
      </w:pPr>
      <w:r w:rsidRPr="0017135E">
        <w:rPr>
          <w:rFonts w:ascii="Times New Roman" w:hAnsi="Times New Roman" w:cs="Times New Roman"/>
          <w:bCs/>
          <w:sz w:val="26"/>
          <w:szCs w:val="26"/>
        </w:rPr>
        <w:t>Consulting Editors</w:t>
      </w:r>
    </w:p>
    <w:p w:rsidR="0017135E" w:rsidRPr="0017135E" w:rsidRDefault="0017135E" w:rsidP="0017135E">
      <w:pPr>
        <w:spacing w:after="0" w:line="240" w:lineRule="auto"/>
        <w:jc w:val="both"/>
        <w:rPr>
          <w:rFonts w:ascii="Times New Roman" w:hAnsi="Times New Roman" w:cs="Times New Roman"/>
          <w:b/>
          <w:sz w:val="26"/>
          <w:szCs w:val="26"/>
        </w:rPr>
      </w:pPr>
      <w:r w:rsidRPr="0017135E">
        <w:rPr>
          <w:rFonts w:ascii="Times New Roman" w:hAnsi="Times New Roman" w:cs="Times New Roman"/>
          <w:b/>
          <w:sz w:val="26"/>
          <w:szCs w:val="26"/>
        </w:rPr>
        <w:t>Prof. C. B. Ben</w:t>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t>Dr. D. A. Alawa</w:t>
      </w:r>
    </w:p>
    <w:p w:rsidR="0017135E" w:rsidRPr="0017135E" w:rsidRDefault="0017135E" w:rsidP="0017135E">
      <w:pPr>
        <w:spacing w:after="0" w:line="240" w:lineRule="auto"/>
        <w:jc w:val="both"/>
        <w:rPr>
          <w:rFonts w:ascii="Times New Roman" w:hAnsi="Times New Roman" w:cs="Times New Roman"/>
          <w:sz w:val="26"/>
          <w:szCs w:val="26"/>
        </w:rPr>
      </w:pPr>
      <w:r w:rsidRPr="0017135E">
        <w:rPr>
          <w:rFonts w:ascii="Times New Roman" w:hAnsi="Times New Roman" w:cs="Times New Roman"/>
          <w:sz w:val="26"/>
          <w:szCs w:val="26"/>
        </w:rPr>
        <w:t>Agricultural Science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Agricultural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Agricultural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Dept. of Agricultural Edu.</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Faculty of Vocational and Science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Faculty of Voc. &amp;Ent. Edu.</w:t>
      </w:r>
    </w:p>
    <w:p w:rsid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 xml:space="preserve">University of Calabar, Calabar – </w:t>
      </w:r>
      <w:r>
        <w:rPr>
          <w:rFonts w:ascii="Times New Roman" w:hAnsi="Times New Roman" w:cs="Times New Roman"/>
          <w:sz w:val="26"/>
          <w:szCs w:val="26"/>
        </w:rPr>
        <w:t>Cross River State, Nigeria</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Default="0017135E" w:rsidP="0017135E">
      <w:pPr>
        <w:spacing w:after="0" w:line="240" w:lineRule="auto"/>
        <w:rPr>
          <w:rFonts w:ascii="Times New Roman" w:hAnsi="Times New Roman" w:cs="Times New Roman"/>
          <w:b/>
          <w:sz w:val="26"/>
          <w:szCs w:val="26"/>
        </w:rPr>
      </w:pPr>
      <w:r w:rsidRPr="0017135E">
        <w:rPr>
          <w:rFonts w:ascii="Times New Roman" w:hAnsi="Times New Roman" w:cs="Times New Roman"/>
          <w:b/>
          <w:sz w:val="26"/>
          <w:szCs w:val="26"/>
        </w:rPr>
        <w:t>Dr. M. A. Iyam</w:t>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r w:rsidRPr="0017135E">
        <w:rPr>
          <w:rFonts w:ascii="Times New Roman" w:hAnsi="Times New Roman" w:cs="Times New Roman"/>
          <w:b/>
          <w:sz w:val="26"/>
          <w:szCs w:val="26"/>
        </w:rPr>
        <w:tab/>
      </w:r>
    </w:p>
    <w:p w:rsidR="0017135E" w:rsidRPr="0017135E" w:rsidRDefault="0017135E" w:rsidP="0017135E">
      <w:pPr>
        <w:spacing w:after="0" w:line="240" w:lineRule="auto"/>
        <w:rPr>
          <w:rFonts w:ascii="Times New Roman" w:hAnsi="Times New Roman" w:cs="Times New Roman"/>
          <w:b/>
          <w:sz w:val="26"/>
          <w:szCs w:val="26"/>
        </w:rPr>
      </w:pPr>
      <w:r w:rsidRPr="0017135E">
        <w:rPr>
          <w:rFonts w:ascii="Times New Roman" w:hAnsi="Times New Roman" w:cs="Times New Roman"/>
          <w:b/>
          <w:sz w:val="26"/>
          <w:szCs w:val="26"/>
        </w:rPr>
        <w:t>Dr. A. E. Dijeh</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lastRenderedPageBreak/>
        <w:t>Home Economics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Home Economics</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Home Economics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Dept. of Home Econs.Edu.</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Faculty of Vocational and Science Education</w:t>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t>Dept. of Home Econs.Edu.</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 Calabar – Cross River State, Nigeria</w:t>
      </w:r>
      <w:r w:rsidRPr="0017135E">
        <w:rPr>
          <w:rFonts w:ascii="Times New Roman" w:hAnsi="Times New Roman" w:cs="Times New Roman"/>
          <w:sz w:val="26"/>
          <w:szCs w:val="26"/>
        </w:rPr>
        <w:tab/>
      </w:r>
      <w:r w:rsidRPr="0017135E">
        <w:rPr>
          <w:rFonts w:ascii="Times New Roman" w:hAnsi="Times New Roman" w:cs="Times New Roman"/>
          <w:sz w:val="26"/>
          <w:szCs w:val="26"/>
        </w:rPr>
        <w:tab/>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p>
    <w:p w:rsidR="0017135E" w:rsidRPr="0017135E" w:rsidRDefault="0017135E" w:rsidP="0017135E">
      <w:pPr>
        <w:spacing w:line="240" w:lineRule="auto"/>
        <w:rPr>
          <w:rFonts w:ascii="Times New Roman" w:hAnsi="Times New Roman" w:cs="Times New Roman"/>
          <w:sz w:val="26"/>
          <w:szCs w:val="26"/>
        </w:rPr>
      </w:pP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r w:rsidRPr="0017135E">
        <w:rPr>
          <w:rFonts w:ascii="Times New Roman" w:hAnsi="Times New Roman" w:cs="Times New Roman"/>
          <w:sz w:val="26"/>
          <w:szCs w:val="26"/>
        </w:rPr>
        <w:tab/>
      </w:r>
    </w:p>
    <w:p w:rsidR="0017135E" w:rsidRPr="0017135E" w:rsidRDefault="0017135E" w:rsidP="0017135E">
      <w:pPr>
        <w:spacing w:after="0"/>
        <w:ind w:right="-421"/>
        <w:jc w:val="both"/>
        <w:rPr>
          <w:rFonts w:ascii="Times New Roman" w:eastAsia="Calibri" w:hAnsi="Times New Roman" w:cs="Times New Roman"/>
          <w:b/>
          <w:sz w:val="26"/>
          <w:szCs w:val="26"/>
        </w:rPr>
      </w:pPr>
      <w:r w:rsidRPr="0017135E">
        <w:rPr>
          <w:rFonts w:ascii="Times New Roman" w:hAnsi="Times New Roman" w:cs="Times New Roman"/>
          <w:sz w:val="26"/>
          <w:szCs w:val="26"/>
        </w:rPr>
        <w:br w:type="page"/>
      </w:r>
      <w:r w:rsidRPr="0017135E">
        <w:rPr>
          <w:rFonts w:ascii="Times New Roman" w:eastAsia="Calibri" w:hAnsi="Times New Roman" w:cs="Times New Roman"/>
          <w:b/>
          <w:sz w:val="26"/>
          <w:szCs w:val="26"/>
          <w:lang w:eastAsia="zh-CN"/>
        </w:rPr>
        <w:lastRenderedPageBreak/>
        <w:t>Editor’s Note</w:t>
      </w:r>
    </w:p>
    <w:p w:rsidR="0017135E" w:rsidRPr="0017135E" w:rsidRDefault="0017135E" w:rsidP="0017135E">
      <w:pPr>
        <w:spacing w:after="0"/>
        <w:ind w:right="-421"/>
        <w:jc w:val="both"/>
        <w:rPr>
          <w:rFonts w:ascii="Times New Roman" w:eastAsia="Calibri" w:hAnsi="Times New Roman" w:cs="Times New Roman"/>
          <w:sz w:val="26"/>
          <w:szCs w:val="26"/>
        </w:rPr>
      </w:pPr>
      <w:r w:rsidRPr="0017135E">
        <w:rPr>
          <w:rFonts w:ascii="Times New Roman" w:eastAsia="Calibri" w:hAnsi="Times New Roman" w:cs="Times New Roman"/>
          <w:sz w:val="26"/>
          <w:szCs w:val="26"/>
          <w:lang w:eastAsia="zh-CN"/>
        </w:rPr>
        <w:t>This edition of International Journal of Vocational Education (IJOVED), Volume 13, No. 1, November 2023 is unique, drawing contribution across institutions and across disciplines in line with global best practices as globalisation and digitalisation combine to ease research activities. This Journal addresses concerns in Technical Vocational Education and Training (TVET), genral education, and other related disciplines in line with the demands of the 21</w:t>
      </w:r>
      <w:r w:rsidRPr="0017135E">
        <w:rPr>
          <w:rFonts w:ascii="Times New Roman" w:eastAsia="Calibri" w:hAnsi="Times New Roman" w:cs="Times New Roman"/>
          <w:sz w:val="26"/>
          <w:szCs w:val="26"/>
          <w:vertAlign w:val="superscript"/>
          <w:lang w:eastAsia="zh-CN"/>
        </w:rPr>
        <w:t>st</w:t>
      </w:r>
      <w:r w:rsidRPr="0017135E">
        <w:rPr>
          <w:rFonts w:ascii="Times New Roman" w:eastAsia="Calibri" w:hAnsi="Times New Roman" w:cs="Times New Roman"/>
          <w:sz w:val="26"/>
          <w:szCs w:val="26"/>
          <w:lang w:eastAsia="zh-CN"/>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form.Your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17135E" w:rsidRPr="0017135E" w:rsidRDefault="0017135E" w:rsidP="0017135E">
      <w:pPr>
        <w:spacing w:after="0"/>
        <w:ind w:left="714" w:right="-421" w:hanging="357"/>
        <w:jc w:val="both"/>
        <w:rPr>
          <w:rFonts w:ascii="Times New Roman" w:eastAsia="Calibri" w:hAnsi="Times New Roman" w:cs="Times New Roman"/>
          <w:sz w:val="26"/>
          <w:szCs w:val="26"/>
        </w:rPr>
      </w:pPr>
    </w:p>
    <w:p w:rsidR="0017135E" w:rsidRPr="0017135E" w:rsidRDefault="0017135E" w:rsidP="0017135E">
      <w:pPr>
        <w:spacing w:after="0"/>
        <w:ind w:left="360" w:right="-421" w:hanging="357"/>
        <w:rPr>
          <w:rFonts w:ascii="Times New Roman" w:eastAsia="Calibri" w:hAnsi="Times New Roman" w:cs="Times New Roman"/>
          <w:sz w:val="26"/>
          <w:szCs w:val="26"/>
        </w:rPr>
      </w:pPr>
    </w:p>
    <w:p w:rsidR="0017135E" w:rsidRPr="0017135E" w:rsidRDefault="0017135E" w:rsidP="0017135E">
      <w:pPr>
        <w:spacing w:after="0"/>
        <w:ind w:left="360" w:right="-421" w:hanging="357"/>
        <w:rPr>
          <w:rFonts w:ascii="Times New Roman" w:eastAsia="Calibri" w:hAnsi="Times New Roman" w:cs="Times New Roman"/>
          <w:sz w:val="26"/>
          <w:szCs w:val="26"/>
        </w:rPr>
      </w:pPr>
      <w:r w:rsidRPr="0017135E">
        <w:rPr>
          <w:rFonts w:ascii="Times New Roman" w:eastAsia="Calibri" w:hAnsi="Times New Roman" w:cs="Times New Roman"/>
          <w:sz w:val="26"/>
          <w:szCs w:val="26"/>
          <w:lang w:eastAsia="zh-CN"/>
        </w:rPr>
        <w:t>Dr. E. E. OKON</w:t>
      </w:r>
    </w:p>
    <w:p w:rsidR="0017135E" w:rsidRPr="0017135E" w:rsidRDefault="0017135E" w:rsidP="0017135E">
      <w:pPr>
        <w:spacing w:after="0"/>
        <w:ind w:left="360" w:right="-421" w:hanging="357"/>
        <w:rPr>
          <w:rFonts w:ascii="Times New Roman" w:eastAsia="Calibri" w:hAnsi="Times New Roman" w:cs="Times New Roman"/>
          <w:sz w:val="26"/>
          <w:szCs w:val="26"/>
        </w:rPr>
      </w:pPr>
      <w:r w:rsidRPr="0017135E">
        <w:rPr>
          <w:rFonts w:ascii="Times New Roman" w:eastAsia="Calibri" w:hAnsi="Times New Roman" w:cs="Times New Roman"/>
          <w:sz w:val="26"/>
          <w:szCs w:val="26"/>
          <w:lang w:eastAsia="zh-CN"/>
        </w:rPr>
        <w:t>Production Editor</w:t>
      </w:r>
    </w:p>
    <w:p w:rsidR="0017135E" w:rsidRPr="0017135E" w:rsidRDefault="0017135E" w:rsidP="0017135E">
      <w:pPr>
        <w:rPr>
          <w:rFonts w:ascii="Times New Roman" w:hAnsi="Times New Roman" w:cs="Times New Roman"/>
          <w:sz w:val="26"/>
          <w:szCs w:val="26"/>
        </w:rPr>
      </w:pPr>
    </w:p>
    <w:p w:rsidR="0017135E" w:rsidRPr="0017135E" w:rsidRDefault="0017135E" w:rsidP="0017135E">
      <w:pPr>
        <w:ind w:left="720"/>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Pr="0017135E" w:rsidRDefault="0017135E" w:rsidP="0017135E">
      <w:pPr>
        <w:rPr>
          <w:rFonts w:ascii="Times New Roman" w:hAnsi="Times New Roman" w:cs="Times New Roman"/>
          <w:sz w:val="26"/>
          <w:szCs w:val="26"/>
        </w:rPr>
      </w:pPr>
    </w:p>
    <w:p w:rsidR="0017135E" w:rsidRDefault="0017135E">
      <w:pPr>
        <w:rPr>
          <w:rFonts w:ascii="Times New Roman" w:hAnsi="Times New Roman" w:cs="Times New Roman"/>
          <w:sz w:val="26"/>
          <w:szCs w:val="26"/>
        </w:rPr>
      </w:pPr>
      <w:r>
        <w:rPr>
          <w:rFonts w:ascii="Times New Roman" w:hAnsi="Times New Roman" w:cs="Times New Roman"/>
          <w:sz w:val="26"/>
          <w:szCs w:val="26"/>
        </w:rPr>
        <w:br w:type="page"/>
      </w:r>
    </w:p>
    <w:p w:rsidR="0017135E" w:rsidRPr="0017135E" w:rsidRDefault="0017135E" w:rsidP="0017135E">
      <w:pPr>
        <w:spacing w:after="0" w:line="240" w:lineRule="auto"/>
        <w:rPr>
          <w:rFonts w:ascii="Times New Roman" w:hAnsi="Times New Roman" w:cs="Times New Roman"/>
          <w:b/>
          <w:sz w:val="26"/>
          <w:szCs w:val="26"/>
        </w:rPr>
      </w:pPr>
      <w:r w:rsidRPr="0017135E">
        <w:rPr>
          <w:rFonts w:ascii="Times New Roman" w:hAnsi="Times New Roman" w:cs="Times New Roman"/>
          <w:b/>
          <w:sz w:val="26"/>
          <w:szCs w:val="26"/>
        </w:rPr>
        <w:lastRenderedPageBreak/>
        <w:t>LIST OF CONTRIBUTORS</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Dr. Isibor, Angela Osas</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Home Economics</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Federal College of Education (Technical)</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Asaba – Delta State</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Odok, E. A.</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Human Kinetics and Health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Ekpo, Effiom Eyo</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Institute of Public Policy and Administration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Onabe, Deborah Bombom</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Educational Management</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Etim Nkanu Efut</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Environmental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Alice Etim Echu</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Library and Information Science</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16"/>
          <w:szCs w:val="1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Edung Etim Asuquo</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Environmental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16"/>
          <w:szCs w:val="1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Ekaette, S. O.</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 xml:space="preserve">Inah, R. A. </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Ekpenyong, J. A.</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Effah, F. A.</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 xml:space="preserve">Owan, V. A. </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lastRenderedPageBreak/>
        <w:t xml:space="preserve">Mbon, U. F. </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i/>
          <w:sz w:val="26"/>
          <w:szCs w:val="26"/>
        </w:rPr>
      </w:pPr>
      <w:r w:rsidRPr="0017135E">
        <w:rPr>
          <w:rFonts w:ascii="Times New Roman" w:hAnsi="Times New Roman" w:cs="Times New Roman"/>
          <w:sz w:val="26"/>
          <w:szCs w:val="26"/>
        </w:rPr>
        <w:t xml:space="preserve">Agnes A. Ewuru, </w:t>
      </w:r>
      <w:r w:rsidRPr="0017135E">
        <w:rPr>
          <w:rFonts w:ascii="Times New Roman" w:hAnsi="Times New Roman" w:cs="Times New Roman"/>
          <w:i/>
          <w:sz w:val="26"/>
          <w:szCs w:val="26"/>
        </w:rPr>
        <w:t xml:space="preserve">PhD </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Atsu, Ashi Liwhu</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Ebere V. Bassey</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Patience C. Etura</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Ita O. Ekpenyong</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Cross River State Universal Basic Education Board – PCN Primary School, Idim Ndom</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 xml:space="preserve">Mercy M. G. Akeke, </w:t>
      </w:r>
      <w:r w:rsidRPr="0017135E">
        <w:rPr>
          <w:rFonts w:ascii="Times New Roman" w:hAnsi="Times New Roman" w:cs="Times New Roman"/>
          <w:i/>
          <w:sz w:val="26"/>
          <w:szCs w:val="26"/>
        </w:rPr>
        <w:t>PhD</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David Agim</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Asuquo F. Akposi</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Department of Business Education</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Education and Entrepreneurship</w:t>
      </w:r>
    </w:p>
    <w:p w:rsidR="0017135E" w:rsidRPr="0017135E" w:rsidRDefault="0017135E" w:rsidP="0017135E">
      <w:pPr>
        <w:spacing w:after="0" w:line="240" w:lineRule="auto"/>
        <w:rPr>
          <w:rFonts w:ascii="Times New Roman" w:hAnsi="Times New Roman" w:cs="Times New Roman"/>
          <w:sz w:val="26"/>
          <w:szCs w:val="26"/>
        </w:rPr>
      </w:pPr>
    </w:p>
    <w:p w:rsidR="0017135E" w:rsidRPr="0017135E" w:rsidRDefault="0017135E" w:rsidP="0017135E">
      <w:pPr>
        <w:spacing w:after="0" w:line="240" w:lineRule="auto"/>
        <w:rPr>
          <w:rFonts w:ascii="Times New Roman" w:hAnsi="Times New Roman" w:cs="Times New Roman"/>
          <w:i/>
          <w:sz w:val="26"/>
          <w:szCs w:val="26"/>
        </w:rPr>
      </w:pPr>
      <w:r w:rsidRPr="0017135E">
        <w:rPr>
          <w:rFonts w:ascii="Times New Roman" w:hAnsi="Times New Roman" w:cs="Times New Roman"/>
          <w:sz w:val="26"/>
          <w:szCs w:val="26"/>
        </w:rPr>
        <w:t xml:space="preserve">Eteng, S. N., </w:t>
      </w:r>
      <w:r w:rsidRPr="0017135E">
        <w:rPr>
          <w:rFonts w:ascii="Times New Roman" w:hAnsi="Times New Roman" w:cs="Times New Roman"/>
          <w:i/>
          <w:sz w:val="26"/>
          <w:szCs w:val="26"/>
        </w:rPr>
        <w:t>PhD</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 xml:space="preserve">Department of Business Education </w:t>
      </w:r>
    </w:p>
    <w:p w:rsidR="0017135E" w:rsidRPr="0017135E" w:rsidRDefault="0017135E" w:rsidP="0017135E">
      <w:pPr>
        <w:spacing w:after="0" w:line="240" w:lineRule="auto"/>
        <w:rPr>
          <w:rFonts w:ascii="Times New Roman" w:hAnsi="Times New Roman" w:cs="Times New Roman"/>
          <w:sz w:val="26"/>
          <w:szCs w:val="26"/>
        </w:rPr>
      </w:pPr>
      <w:r w:rsidRPr="0017135E">
        <w:rPr>
          <w:rFonts w:ascii="Times New Roman" w:hAnsi="Times New Roman" w:cs="Times New Roman"/>
          <w:sz w:val="26"/>
          <w:szCs w:val="26"/>
        </w:rPr>
        <w:t>University of Calabar</w:t>
      </w:r>
    </w:p>
    <w:p w:rsidR="0017135E" w:rsidRDefault="0017135E" w:rsidP="0017135E">
      <w:pPr>
        <w:pStyle w:val="CommentText"/>
        <w:jc w:val="center"/>
        <w:rPr>
          <w:rFonts w:ascii="Times New Roman" w:eastAsia="Calibri" w:hAnsi="Times New Roman" w:cs="Times New Roman"/>
          <w:b/>
          <w:bCs/>
          <w:sz w:val="26"/>
          <w:szCs w:val="26"/>
        </w:rPr>
      </w:pPr>
    </w:p>
    <w:p w:rsidR="004A2C18" w:rsidRDefault="004A2C18">
      <w:pPr>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173274" w:rsidRPr="00381A0E" w:rsidRDefault="00173274" w:rsidP="00173274">
      <w:pPr>
        <w:jc w:val="center"/>
        <w:rPr>
          <w:rFonts w:ascii="Times New Roman" w:hAnsi="Times New Roman" w:cs="Times New Roman"/>
          <w:b/>
          <w:sz w:val="26"/>
          <w:szCs w:val="26"/>
        </w:rPr>
      </w:pPr>
      <w:r w:rsidRPr="00381A0E">
        <w:rPr>
          <w:rFonts w:ascii="Times New Roman" w:hAnsi="Times New Roman" w:cs="Times New Roman"/>
          <w:b/>
          <w:sz w:val="26"/>
          <w:szCs w:val="26"/>
        </w:rPr>
        <w:lastRenderedPageBreak/>
        <w:t>TABLE OF CONTENTS</w:t>
      </w:r>
    </w:p>
    <w:p w:rsidR="00173274" w:rsidRDefault="00173274" w:rsidP="00173274">
      <w:pPr>
        <w:spacing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 </w:t>
      </w:r>
    </w:p>
    <w:p w:rsidR="00173274" w:rsidRPr="00381A0E" w:rsidRDefault="00173274" w:rsidP="00173274">
      <w:pPr>
        <w:spacing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73274" w:rsidRDefault="00173274" w:rsidP="00173274">
      <w:pPr>
        <w:spacing w:after="0" w:line="240" w:lineRule="auto"/>
        <w:rPr>
          <w:rFonts w:ascii="Times New Roman" w:eastAsia="Calibri" w:hAnsi="Times New Roman" w:cs="Times New Roman"/>
          <w:sz w:val="26"/>
          <w:szCs w:val="26"/>
          <w:lang w:eastAsia="zh-CN"/>
        </w:rPr>
      </w:pPr>
      <w:r w:rsidRPr="00381A0E">
        <w:rPr>
          <w:rFonts w:ascii="Times New Roman" w:eastAsia="Calibri" w:hAnsi="Times New Roman" w:cs="Times New Roman"/>
          <w:sz w:val="26"/>
          <w:szCs w:val="26"/>
          <w:lang w:eastAsia="zh-CN"/>
        </w:rPr>
        <w:t>Editor’s Note</w:t>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r>
      <w:r>
        <w:rPr>
          <w:rFonts w:ascii="Times New Roman" w:eastAsia="Calibri" w:hAnsi="Times New Roman" w:cs="Times New Roman"/>
          <w:sz w:val="26"/>
          <w:szCs w:val="26"/>
          <w:lang w:eastAsia="zh-CN"/>
        </w:rPr>
        <w:tab/>
        <w:t>v</w:t>
      </w:r>
    </w:p>
    <w:p w:rsidR="00173274" w:rsidRDefault="00173274" w:rsidP="00173274">
      <w:pPr>
        <w:spacing w:after="0" w:line="240" w:lineRule="auto"/>
        <w:rPr>
          <w:rFonts w:ascii="Times New Roma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173274" w:rsidRPr="00381A0E" w:rsidRDefault="00173274" w:rsidP="00173274">
      <w:pPr>
        <w:spacing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viii</w:t>
      </w:r>
    </w:p>
    <w:p w:rsidR="00173274" w:rsidRDefault="00173274" w:rsidP="00173274">
      <w:pPr>
        <w:pStyle w:val="CommentText"/>
        <w:spacing w:before="0" w:beforeAutospacing="0" w:after="0"/>
        <w:rPr>
          <w:rFonts w:ascii="Times New Roman" w:eastAsia="Calibri" w:hAnsi="Times New Roman" w:cs="Times New Roman"/>
          <w:bCs/>
          <w:sz w:val="26"/>
          <w:szCs w:val="26"/>
        </w:rPr>
      </w:pPr>
    </w:p>
    <w:p w:rsidR="00173274" w:rsidRDefault="00173274" w:rsidP="00173274">
      <w:pPr>
        <w:pStyle w:val="CommentText"/>
        <w:spacing w:before="0" w:beforeAutospacing="0" w:after="0"/>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Perception of Farmers on the impact of Food and Nutrition Knowledge on </w:t>
      </w:r>
    </w:p>
    <w:p w:rsidR="00173274" w:rsidRDefault="00173274" w:rsidP="00173274">
      <w:pPr>
        <w:pStyle w:val="CommentText"/>
        <w:spacing w:before="0" w:beforeAutospacing="0" w:after="0"/>
        <w:rPr>
          <w:rFonts w:ascii="Times New Roman" w:eastAsia="Calibri" w:hAnsi="Times New Roman" w:cs="Times New Roman"/>
          <w:bCs/>
          <w:sz w:val="26"/>
          <w:szCs w:val="26"/>
        </w:rPr>
      </w:pPr>
      <w:r>
        <w:rPr>
          <w:rFonts w:ascii="Times New Roman" w:eastAsia="Calibri" w:hAnsi="Times New Roman" w:cs="Times New Roman"/>
          <w:bCs/>
          <w:sz w:val="26"/>
          <w:szCs w:val="26"/>
        </w:rPr>
        <w:t>Sustainable Management of Family Resources i</w:t>
      </w:r>
      <w:r w:rsidRPr="00381A0E">
        <w:rPr>
          <w:rFonts w:ascii="Times New Roman" w:eastAsia="Calibri" w:hAnsi="Times New Roman" w:cs="Times New Roman"/>
          <w:bCs/>
          <w:sz w:val="26"/>
          <w:szCs w:val="26"/>
        </w:rPr>
        <w:t>n Oshimi</w:t>
      </w:r>
      <w:r>
        <w:rPr>
          <w:rFonts w:ascii="Times New Roman" w:eastAsia="Calibri" w:hAnsi="Times New Roman" w:cs="Times New Roman"/>
          <w:bCs/>
          <w:sz w:val="26"/>
          <w:szCs w:val="26"/>
        </w:rPr>
        <w:t xml:space="preserve">li South Local </w:t>
      </w:r>
    </w:p>
    <w:p w:rsidR="00173274" w:rsidRPr="002104AA" w:rsidRDefault="00173274" w:rsidP="00173274">
      <w:pPr>
        <w:pStyle w:val="CommentText"/>
        <w:spacing w:before="0" w:beforeAutospacing="0" w:after="0"/>
        <w:rPr>
          <w:rFonts w:ascii="Times New Roman" w:eastAsia="Calibri" w:hAnsi="Times New Roman" w:cs="Times New Roman"/>
          <w:bCs/>
          <w:sz w:val="26"/>
          <w:szCs w:val="26"/>
        </w:rPr>
      </w:pPr>
      <w:r>
        <w:rPr>
          <w:rFonts w:ascii="Times New Roman" w:eastAsia="Calibri" w:hAnsi="Times New Roman" w:cs="Times New Roman"/>
          <w:bCs/>
          <w:sz w:val="26"/>
          <w:szCs w:val="26"/>
        </w:rPr>
        <w:t>Government Area o</w:t>
      </w:r>
      <w:r w:rsidRPr="00381A0E">
        <w:rPr>
          <w:rFonts w:ascii="Times New Roman" w:eastAsia="Calibri" w:hAnsi="Times New Roman" w:cs="Times New Roman"/>
          <w:bCs/>
          <w:sz w:val="26"/>
          <w:szCs w:val="26"/>
        </w:rPr>
        <w:t>f Delta State</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t>1</w:t>
      </w:r>
    </w:p>
    <w:p w:rsidR="00173274" w:rsidRDefault="00173274" w:rsidP="00173274">
      <w:pPr>
        <w:pStyle w:val="NoSpacing"/>
        <w:spacing w:before="0" w:beforeAutospacing="0"/>
        <w:jc w:val="both"/>
        <w:rPr>
          <w:color w:val="000000"/>
          <w:sz w:val="26"/>
          <w:szCs w:val="26"/>
        </w:rPr>
      </w:pPr>
    </w:p>
    <w:p w:rsidR="00173274" w:rsidRDefault="00173274" w:rsidP="00173274">
      <w:pPr>
        <w:pStyle w:val="NoSpacing"/>
        <w:spacing w:before="0" w:beforeAutospacing="0"/>
        <w:jc w:val="both"/>
        <w:rPr>
          <w:sz w:val="26"/>
          <w:szCs w:val="26"/>
        </w:rPr>
      </w:pPr>
      <w:r w:rsidRPr="002104AA">
        <w:rPr>
          <w:color w:val="000000"/>
          <w:sz w:val="26"/>
          <w:szCs w:val="26"/>
        </w:rPr>
        <w:t>I</w:t>
      </w:r>
      <w:r>
        <w:rPr>
          <w:sz w:val="26"/>
          <w:szCs w:val="26"/>
        </w:rPr>
        <w:t>nstruction-Related Variables and the Teaching of Physical Education</w:t>
      </w:r>
    </w:p>
    <w:p w:rsidR="00173274" w:rsidRDefault="00173274" w:rsidP="00173274">
      <w:pPr>
        <w:pStyle w:val="NoSpacing"/>
        <w:spacing w:before="0" w:beforeAutospacing="0"/>
        <w:jc w:val="both"/>
        <w:rPr>
          <w:sz w:val="26"/>
          <w:szCs w:val="26"/>
        </w:rPr>
      </w:pPr>
      <w:r>
        <w:rPr>
          <w:sz w:val="26"/>
          <w:szCs w:val="26"/>
        </w:rPr>
        <w:t>in Secondary Schools i</w:t>
      </w:r>
      <w:r w:rsidRPr="002104AA">
        <w:rPr>
          <w:sz w:val="26"/>
          <w:szCs w:val="26"/>
        </w:rPr>
        <w:t>n Ibi</w:t>
      </w:r>
      <w:r>
        <w:rPr>
          <w:sz w:val="26"/>
          <w:szCs w:val="26"/>
        </w:rPr>
        <w:t>ono Ibom Local Government Area o</w:t>
      </w:r>
      <w:r w:rsidRPr="002104AA">
        <w:rPr>
          <w:sz w:val="26"/>
          <w:szCs w:val="26"/>
        </w:rPr>
        <w:t xml:space="preserve">f </w:t>
      </w:r>
    </w:p>
    <w:p w:rsidR="004A2C18" w:rsidRDefault="00173274" w:rsidP="00173274">
      <w:pPr>
        <w:pStyle w:val="NoSpacing"/>
        <w:spacing w:before="0" w:beforeAutospacing="0"/>
        <w:jc w:val="both"/>
        <w:rPr>
          <w:sz w:val="26"/>
          <w:szCs w:val="26"/>
        </w:rPr>
      </w:pPr>
      <w:r w:rsidRPr="002104AA">
        <w:rPr>
          <w:sz w:val="26"/>
          <w:szCs w:val="26"/>
        </w:rPr>
        <w:t>Akwa Ibom State, Nigeria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173274" w:rsidRPr="00173274" w:rsidRDefault="00173274" w:rsidP="00173274">
      <w:pPr>
        <w:pStyle w:val="NoSpacing"/>
        <w:spacing w:before="0" w:beforeAutospacing="0"/>
        <w:jc w:val="both"/>
        <w:rPr>
          <w:sz w:val="26"/>
          <w:szCs w:val="26"/>
        </w:rPr>
      </w:pPr>
    </w:p>
    <w:p w:rsidR="00173274" w:rsidRDefault="00173274" w:rsidP="00173274">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Transportation and Financial Aftermath o</w:t>
      </w:r>
      <w:r w:rsidRPr="002104AA">
        <w:rPr>
          <w:rFonts w:ascii="Times New Roman" w:eastAsia="Calibri" w:hAnsi="Times New Roman" w:cs="Times New Roman"/>
          <w:sz w:val="26"/>
          <w:szCs w:val="26"/>
        </w:rPr>
        <w:t xml:space="preserve">f Corona Virus </w:t>
      </w:r>
    </w:p>
    <w:p w:rsidR="00173274" w:rsidRDefault="00173274" w:rsidP="00173274">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Disease Lockdown: Implications for Educational and Tourism </w:t>
      </w:r>
    </w:p>
    <w:p w:rsidR="00173274" w:rsidRDefault="00173274" w:rsidP="00173274">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Development i</w:t>
      </w:r>
      <w:r w:rsidRPr="002104AA">
        <w:rPr>
          <w:rFonts w:ascii="Times New Roman" w:eastAsia="Calibri" w:hAnsi="Times New Roman" w:cs="Times New Roman"/>
          <w:sz w:val="26"/>
          <w:szCs w:val="26"/>
        </w:rPr>
        <w:t>n Nigeria</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22</w:t>
      </w:r>
    </w:p>
    <w:p w:rsidR="00173274" w:rsidRPr="00173274" w:rsidRDefault="00173274" w:rsidP="00173274">
      <w:pPr>
        <w:spacing w:after="0" w:line="240" w:lineRule="auto"/>
        <w:jc w:val="both"/>
        <w:rPr>
          <w:rFonts w:ascii="Times New Roman" w:eastAsia="Calibri" w:hAnsi="Times New Roman" w:cs="Times New Roman"/>
          <w:sz w:val="26"/>
          <w:szCs w:val="26"/>
        </w:rPr>
      </w:pPr>
    </w:p>
    <w:p w:rsidR="00173274" w:rsidRDefault="00173274" w:rsidP="001732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Religio-Cultural, Social and Economic Upshots o</w:t>
      </w:r>
      <w:r w:rsidRPr="00407F5D">
        <w:rPr>
          <w:rFonts w:ascii="Times New Roman" w:hAnsi="Times New Roman" w:cs="Times New Roman"/>
          <w:sz w:val="26"/>
          <w:szCs w:val="26"/>
        </w:rPr>
        <w:t>f</w:t>
      </w:r>
      <w:r>
        <w:rPr>
          <w:rFonts w:ascii="Times New Roman" w:hAnsi="Times New Roman" w:cs="Times New Roman"/>
          <w:sz w:val="26"/>
          <w:szCs w:val="26"/>
        </w:rPr>
        <w:t xml:space="preserve"> Corona Virus Disease</w:t>
      </w:r>
    </w:p>
    <w:p w:rsidR="00173274" w:rsidRPr="00407F5D" w:rsidRDefault="00173274" w:rsidP="0017327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Lockdown and Tourism Potentials i</w:t>
      </w:r>
      <w:r w:rsidRPr="00407F5D">
        <w:rPr>
          <w:rFonts w:ascii="Times New Roman" w:hAnsi="Times New Roman" w:cs="Times New Roman"/>
          <w:sz w:val="26"/>
          <w:szCs w:val="26"/>
        </w:rPr>
        <w:t>n Cross River State, Nigeria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73274" w:rsidRPr="00210BD3" w:rsidRDefault="00173274" w:rsidP="00173274">
      <w:pPr>
        <w:spacing w:after="0" w:line="240" w:lineRule="auto"/>
        <w:jc w:val="center"/>
        <w:rPr>
          <w:rFonts w:ascii="Times New Roman" w:hAnsi="Times New Roman" w:cs="Times New Roman"/>
          <w:b/>
          <w:sz w:val="26"/>
          <w:szCs w:val="26"/>
        </w:rPr>
      </w:pPr>
    </w:p>
    <w:p w:rsidR="00173274" w:rsidRDefault="00173274" w:rsidP="00173274">
      <w:pPr>
        <w:autoSpaceDE w:val="0"/>
        <w:autoSpaceDN w:val="0"/>
        <w:adjustRightInd w:val="0"/>
        <w:spacing w:after="0" w:line="240" w:lineRule="auto"/>
        <w:jc w:val="both"/>
        <w:rPr>
          <w:rFonts w:ascii="Times New Roman" w:hAnsi="Times New Roman" w:cs="Times New Roman"/>
          <w:sz w:val="26"/>
          <w:szCs w:val="26"/>
        </w:rPr>
      </w:pPr>
      <w:r w:rsidRPr="00407F5D">
        <w:rPr>
          <w:rFonts w:ascii="Times New Roman" w:hAnsi="Times New Roman" w:cs="Times New Roman"/>
          <w:sz w:val="26"/>
          <w:szCs w:val="26"/>
        </w:rPr>
        <w:t xml:space="preserve">Cost-Sharing Approach to Financing University Education for </w:t>
      </w:r>
    </w:p>
    <w:p w:rsidR="00173274" w:rsidRDefault="00173274" w:rsidP="00CE2CBB">
      <w:pPr>
        <w:autoSpaceDE w:val="0"/>
        <w:autoSpaceDN w:val="0"/>
        <w:adjustRightInd w:val="0"/>
        <w:spacing w:after="0" w:line="240" w:lineRule="auto"/>
        <w:jc w:val="both"/>
        <w:rPr>
          <w:rFonts w:ascii="Times New Roman" w:hAnsi="Times New Roman" w:cs="Times New Roman"/>
          <w:sz w:val="26"/>
          <w:szCs w:val="26"/>
        </w:rPr>
      </w:pPr>
      <w:r w:rsidRPr="00407F5D">
        <w:rPr>
          <w:rFonts w:ascii="Times New Roman" w:hAnsi="Times New Roman" w:cs="Times New Roman"/>
          <w:sz w:val="26"/>
          <w:szCs w:val="26"/>
        </w:rPr>
        <w:t>Sustainable National Development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CE2CBB" w:rsidRPr="00CE2CBB" w:rsidRDefault="00CE2CBB" w:rsidP="00CE2CBB">
      <w:pPr>
        <w:autoSpaceDE w:val="0"/>
        <w:autoSpaceDN w:val="0"/>
        <w:adjustRightInd w:val="0"/>
        <w:spacing w:after="0" w:line="240" w:lineRule="auto"/>
        <w:jc w:val="both"/>
        <w:rPr>
          <w:rFonts w:ascii="Times New Roman" w:hAnsi="Times New Roman" w:cs="Times New Roman"/>
          <w:sz w:val="26"/>
          <w:szCs w:val="26"/>
        </w:rPr>
      </w:pPr>
    </w:p>
    <w:p w:rsidR="00CE2CBB" w:rsidRDefault="00CE2CBB" w:rsidP="00CE2CBB">
      <w:pPr>
        <w:tabs>
          <w:tab w:val="left" w:pos="8647"/>
          <w:tab w:val="left" w:pos="9072"/>
          <w:tab w:val="left" w:pos="9214"/>
        </w:tabs>
        <w:spacing w:after="0" w:line="240" w:lineRule="auto"/>
        <w:ind w:hanging="10"/>
        <w:jc w:val="both"/>
        <w:rPr>
          <w:rFonts w:ascii="Times New Roman" w:hAnsi="Times New Roman" w:cs="Times New Roman"/>
          <w:sz w:val="26"/>
          <w:szCs w:val="26"/>
        </w:rPr>
      </w:pPr>
      <w:r>
        <w:rPr>
          <w:rFonts w:ascii="Times New Roman" w:hAnsi="Times New Roman" w:cs="Times New Roman"/>
          <w:sz w:val="26"/>
          <w:szCs w:val="26"/>
        </w:rPr>
        <w:t>Theorem 3 i</w:t>
      </w:r>
      <w:r w:rsidRPr="00F6416B">
        <w:rPr>
          <w:rFonts w:ascii="Times New Roman" w:hAnsi="Times New Roman" w:cs="Times New Roman"/>
          <w:sz w:val="26"/>
          <w:szCs w:val="26"/>
        </w:rPr>
        <w:t xml:space="preserve">n Practice: </w:t>
      </w:r>
      <w:r>
        <w:rPr>
          <w:rFonts w:ascii="Times New Roman" w:hAnsi="Times New Roman" w:cs="Times New Roman"/>
          <w:sz w:val="26"/>
          <w:szCs w:val="26"/>
        </w:rPr>
        <w:t xml:space="preserve">Enhancing Vocational Education through </w:t>
      </w:r>
    </w:p>
    <w:p w:rsidR="00CE2CBB" w:rsidRDefault="00CE2CBB" w:rsidP="00CE2CBB">
      <w:pPr>
        <w:tabs>
          <w:tab w:val="left" w:pos="8647"/>
          <w:tab w:val="left" w:pos="9072"/>
          <w:tab w:val="left" w:pos="9214"/>
        </w:tabs>
        <w:spacing w:after="0" w:line="240" w:lineRule="auto"/>
        <w:ind w:hanging="10"/>
        <w:jc w:val="both"/>
        <w:rPr>
          <w:rFonts w:ascii="Times New Roman" w:hAnsi="Times New Roman" w:cs="Times New Roman"/>
          <w:sz w:val="26"/>
          <w:szCs w:val="26"/>
        </w:rPr>
      </w:pPr>
      <w:r>
        <w:rPr>
          <w:rFonts w:ascii="Times New Roman" w:hAnsi="Times New Roman" w:cs="Times New Roman"/>
          <w:sz w:val="26"/>
          <w:szCs w:val="26"/>
        </w:rPr>
        <w:t>Cognitive a</w:t>
      </w:r>
      <w:r w:rsidRPr="00F6416B">
        <w:rPr>
          <w:rFonts w:ascii="Times New Roman" w:hAnsi="Times New Roman" w:cs="Times New Roman"/>
          <w:sz w:val="26"/>
          <w:szCs w:val="26"/>
        </w:rPr>
        <w:t>nd</w:t>
      </w:r>
      <w:r>
        <w:rPr>
          <w:rFonts w:ascii="Times New Roman" w:hAnsi="Times New Roman" w:cs="Times New Roman"/>
          <w:sz w:val="26"/>
          <w:szCs w:val="26"/>
        </w:rPr>
        <w:t xml:space="preserve"> </w:t>
      </w:r>
      <w:r w:rsidRPr="00F6416B">
        <w:rPr>
          <w:rFonts w:ascii="Times New Roman" w:hAnsi="Times New Roman" w:cs="Times New Roman"/>
          <w:sz w:val="26"/>
          <w:szCs w:val="26"/>
        </w:rPr>
        <w:t>Manipulative Skills Development</w:t>
      </w:r>
      <w:r>
        <w:rPr>
          <w:rFonts w:ascii="Times New Roman" w:hAnsi="Times New Roman" w:cs="Times New Roman"/>
          <w:sz w:val="26"/>
          <w:szCs w:val="26"/>
        </w:rPr>
        <w:tab/>
        <w:t>52</w:t>
      </w:r>
    </w:p>
    <w:p w:rsidR="00CE2CBB" w:rsidRDefault="00CE2CBB" w:rsidP="00CE2CBB">
      <w:pPr>
        <w:tabs>
          <w:tab w:val="left" w:pos="8647"/>
          <w:tab w:val="left" w:pos="9072"/>
          <w:tab w:val="left" w:pos="9214"/>
        </w:tabs>
        <w:spacing w:after="0" w:line="240" w:lineRule="auto"/>
        <w:ind w:hanging="10"/>
        <w:jc w:val="both"/>
        <w:rPr>
          <w:rFonts w:ascii="Times New Roman" w:hAnsi="Times New Roman" w:cs="Times New Roman"/>
          <w:sz w:val="26"/>
          <w:szCs w:val="26"/>
        </w:rPr>
      </w:pPr>
    </w:p>
    <w:p w:rsidR="00CE2CBB" w:rsidRPr="00F6416B" w:rsidRDefault="00CE2CBB" w:rsidP="00CE2CBB">
      <w:pPr>
        <w:tabs>
          <w:tab w:val="left" w:pos="8647"/>
          <w:tab w:val="left" w:pos="9072"/>
          <w:tab w:val="left" w:pos="9214"/>
        </w:tabs>
        <w:spacing w:after="0" w:line="240" w:lineRule="auto"/>
        <w:ind w:hanging="10"/>
        <w:jc w:val="both"/>
        <w:rPr>
          <w:rFonts w:ascii="Times New Roman" w:hAnsi="Times New Roman" w:cs="Times New Roman"/>
          <w:sz w:val="26"/>
          <w:szCs w:val="26"/>
        </w:rPr>
      </w:pPr>
      <w:r>
        <w:rPr>
          <w:rFonts w:ascii="Times New Roman" w:hAnsi="Times New Roman" w:cs="Times New Roman"/>
          <w:bCs/>
          <w:sz w:val="26"/>
          <w:szCs w:val="26"/>
        </w:rPr>
        <w:t>Quality Assessment Practices a</w:t>
      </w:r>
      <w:r w:rsidRPr="00F6416B">
        <w:rPr>
          <w:rFonts w:ascii="Times New Roman" w:hAnsi="Times New Roman" w:cs="Times New Roman"/>
          <w:bCs/>
          <w:sz w:val="26"/>
          <w:szCs w:val="26"/>
        </w:rPr>
        <w:t xml:space="preserve">nd Job Performance </w:t>
      </w:r>
      <w:r>
        <w:rPr>
          <w:rFonts w:ascii="Times New Roman" w:hAnsi="Times New Roman" w:cs="Times New Roman"/>
          <w:bCs/>
          <w:sz w:val="26"/>
          <w:szCs w:val="26"/>
        </w:rPr>
        <w:t>o</w:t>
      </w:r>
      <w:r w:rsidRPr="00F6416B">
        <w:rPr>
          <w:rFonts w:ascii="Times New Roman" w:hAnsi="Times New Roman" w:cs="Times New Roman"/>
          <w:bCs/>
          <w:sz w:val="26"/>
          <w:szCs w:val="26"/>
        </w:rPr>
        <w:t xml:space="preserve">f Business </w:t>
      </w:r>
    </w:p>
    <w:p w:rsidR="00CE2CBB" w:rsidRDefault="00CE2CBB" w:rsidP="00CE2CBB">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Educators i</w:t>
      </w:r>
      <w:r w:rsidRPr="00F6416B">
        <w:rPr>
          <w:rFonts w:ascii="Times New Roman" w:hAnsi="Times New Roman" w:cs="Times New Roman"/>
          <w:bCs/>
          <w:sz w:val="26"/>
          <w:szCs w:val="26"/>
        </w:rPr>
        <w:t xml:space="preserve">n Secondary Schools </w:t>
      </w:r>
      <w:r>
        <w:rPr>
          <w:rFonts w:ascii="Times New Roman" w:hAnsi="Times New Roman" w:cs="Times New Roman"/>
          <w:bCs/>
          <w:sz w:val="26"/>
          <w:szCs w:val="26"/>
        </w:rPr>
        <w:t>i</w:t>
      </w:r>
      <w:r w:rsidRPr="00F6416B">
        <w:rPr>
          <w:rFonts w:ascii="Times New Roman" w:hAnsi="Times New Roman" w:cs="Times New Roman"/>
          <w:bCs/>
          <w:sz w:val="26"/>
          <w:szCs w:val="26"/>
        </w:rPr>
        <w:t>n Cross River State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69</w:t>
      </w:r>
    </w:p>
    <w:p w:rsidR="00CE2CBB" w:rsidRPr="00CE2CBB" w:rsidRDefault="00CE2CBB" w:rsidP="00CE2CBB">
      <w:pPr>
        <w:spacing w:after="0" w:line="240" w:lineRule="auto"/>
        <w:jc w:val="both"/>
        <w:rPr>
          <w:rFonts w:ascii="Times New Roman" w:hAnsi="Times New Roman" w:cs="Times New Roman"/>
          <w:bCs/>
          <w:sz w:val="26"/>
          <w:szCs w:val="26"/>
        </w:rPr>
      </w:pPr>
    </w:p>
    <w:p w:rsidR="00CE2CBB" w:rsidRDefault="00CE2CBB" w:rsidP="00CE2CBB">
      <w:pPr>
        <w:spacing w:after="0" w:line="240" w:lineRule="auto"/>
        <w:jc w:val="both"/>
        <w:rPr>
          <w:rFonts w:ascii="Times New Roman" w:eastAsia="Times New Roman" w:hAnsi="Times New Roman" w:cs="Times New Roman"/>
          <w:bCs/>
          <w:sz w:val="26"/>
          <w:szCs w:val="26"/>
        </w:rPr>
      </w:pPr>
      <w:r w:rsidRPr="00F6416B">
        <w:rPr>
          <w:rFonts w:ascii="Times New Roman" w:eastAsia="Times New Roman" w:hAnsi="Times New Roman" w:cs="Times New Roman"/>
          <w:bCs/>
          <w:sz w:val="26"/>
          <w:szCs w:val="26"/>
        </w:rPr>
        <w:t xml:space="preserve">Theoretical and Practical Dimensions of Vocational Education: </w:t>
      </w:r>
    </w:p>
    <w:p w:rsidR="00CE2CBB" w:rsidRDefault="00CE2CBB" w:rsidP="00CE2CBB">
      <w:pPr>
        <w:spacing w:after="0" w:line="240" w:lineRule="auto"/>
        <w:jc w:val="both"/>
        <w:rPr>
          <w:rFonts w:ascii="Times New Roman" w:eastAsia="Times New Roman" w:hAnsi="Times New Roman" w:cs="Times New Roman"/>
          <w:bCs/>
          <w:sz w:val="26"/>
          <w:szCs w:val="26"/>
        </w:rPr>
      </w:pPr>
      <w:r w:rsidRPr="00F6416B">
        <w:rPr>
          <w:rFonts w:ascii="Times New Roman" w:eastAsia="Times New Roman" w:hAnsi="Times New Roman" w:cs="Times New Roman"/>
          <w:bCs/>
          <w:sz w:val="26"/>
          <w:szCs w:val="26"/>
        </w:rPr>
        <w:t xml:space="preserve">Analyzing Charles Prosser's Theorem 5 and its impact on Modern </w:t>
      </w:r>
    </w:p>
    <w:p w:rsidR="00CE2CBB" w:rsidRDefault="00CE2CBB" w:rsidP="00CE2CBB">
      <w:pPr>
        <w:pStyle w:val="CommentText"/>
        <w:spacing w:before="0" w:beforeAutospacing="0" w:after="0"/>
        <w:rPr>
          <w:rFonts w:ascii="Times New Roman" w:hAnsi="Times New Roman" w:cs="Times New Roman"/>
          <w:bCs/>
          <w:sz w:val="26"/>
          <w:szCs w:val="26"/>
        </w:rPr>
      </w:pPr>
      <w:r w:rsidRPr="00F6416B">
        <w:rPr>
          <w:rFonts w:ascii="Times New Roman" w:hAnsi="Times New Roman" w:cs="Times New Roman"/>
          <w:bCs/>
          <w:sz w:val="26"/>
          <w:szCs w:val="26"/>
        </w:rPr>
        <w:t>Training Practices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79</w:t>
      </w:r>
    </w:p>
    <w:p w:rsidR="00CE2CBB" w:rsidRDefault="00CE2CBB" w:rsidP="00CE2CBB">
      <w:pPr>
        <w:pStyle w:val="CommentText"/>
        <w:spacing w:before="0" w:beforeAutospacing="0" w:after="0"/>
        <w:rPr>
          <w:rFonts w:ascii="Times New Roman" w:hAnsi="Times New Roman" w:cs="Times New Roman"/>
          <w:bCs/>
          <w:sz w:val="26"/>
          <w:szCs w:val="26"/>
        </w:rPr>
      </w:pPr>
    </w:p>
    <w:p w:rsidR="00CE2CBB" w:rsidRDefault="00CE2CBB" w:rsidP="00CE2CBB">
      <w:pPr>
        <w:spacing w:after="0" w:line="240" w:lineRule="auto"/>
        <w:jc w:val="both"/>
        <w:rPr>
          <w:rFonts w:ascii="Times New Roman" w:hAnsi="Times New Roman" w:cs="Times New Roman"/>
          <w:sz w:val="26"/>
          <w:szCs w:val="26"/>
        </w:rPr>
      </w:pPr>
      <w:r w:rsidRPr="00E5213D">
        <w:rPr>
          <w:rFonts w:ascii="Times New Roman" w:hAnsi="Times New Roman" w:cs="Times New Roman"/>
          <w:sz w:val="26"/>
          <w:szCs w:val="26"/>
        </w:rPr>
        <w:t xml:space="preserve">Raising Business Consciousness among Secondary School Students: </w:t>
      </w:r>
    </w:p>
    <w:p w:rsidR="00CE2CBB" w:rsidRPr="00E5213D" w:rsidRDefault="00CE2CBB" w:rsidP="00CE2CBB">
      <w:pPr>
        <w:spacing w:after="0" w:line="240" w:lineRule="auto"/>
        <w:jc w:val="both"/>
        <w:rPr>
          <w:rFonts w:ascii="Times New Roman" w:hAnsi="Times New Roman" w:cs="Times New Roman"/>
          <w:sz w:val="26"/>
          <w:szCs w:val="26"/>
        </w:rPr>
      </w:pPr>
      <w:r w:rsidRPr="00E5213D">
        <w:rPr>
          <w:rFonts w:ascii="Times New Roman" w:hAnsi="Times New Roman" w:cs="Times New Roman"/>
          <w:sz w:val="26"/>
          <w:szCs w:val="26"/>
        </w:rPr>
        <w:t>Curriculum and Pedagogical Perspectives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90</w:t>
      </w:r>
    </w:p>
    <w:p w:rsidR="00CE2CBB" w:rsidRDefault="00CE2CBB" w:rsidP="00CE2CBB">
      <w:pPr>
        <w:pStyle w:val="CommentText"/>
        <w:spacing w:before="0" w:beforeAutospacing="0" w:after="0"/>
        <w:rPr>
          <w:rFonts w:ascii="Times New Roman" w:eastAsia="Calibri" w:hAnsi="Times New Roman" w:cs="Times New Roman"/>
          <w:b/>
          <w:bCs/>
          <w:sz w:val="26"/>
          <w:szCs w:val="26"/>
        </w:rPr>
      </w:pPr>
    </w:p>
    <w:p w:rsidR="00CE2CBB" w:rsidRDefault="00CE2CBB" w:rsidP="00CE2CB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Nascent Technologies and the Training o</w:t>
      </w:r>
      <w:r w:rsidRPr="00E5213D">
        <w:rPr>
          <w:rFonts w:ascii="Times New Roman" w:hAnsi="Times New Roman" w:cs="Times New Roman"/>
          <w:sz w:val="26"/>
          <w:szCs w:val="26"/>
        </w:rPr>
        <w:t xml:space="preserve">f Business Education </w:t>
      </w:r>
    </w:p>
    <w:p w:rsidR="00CE2CBB" w:rsidRPr="00E5213D" w:rsidRDefault="00CE2CBB" w:rsidP="00CE2CB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Students in Tertiary Institution i</w:t>
      </w:r>
      <w:r w:rsidRPr="00E5213D">
        <w:rPr>
          <w:rFonts w:ascii="Times New Roman" w:hAnsi="Times New Roman" w:cs="Times New Roman"/>
          <w:sz w:val="26"/>
          <w:szCs w:val="26"/>
        </w:rPr>
        <w:t>n Cross River State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99</w:t>
      </w:r>
    </w:p>
    <w:p w:rsidR="00CE2CBB" w:rsidRPr="00381D63" w:rsidRDefault="00CE2CBB" w:rsidP="00CE2CBB">
      <w:pPr>
        <w:spacing w:after="0" w:line="240" w:lineRule="auto"/>
        <w:jc w:val="both"/>
        <w:rPr>
          <w:rFonts w:ascii="Times New Roman" w:hAnsi="Times New Roman" w:cs="Times New Roman"/>
          <w:b/>
          <w:sz w:val="26"/>
          <w:szCs w:val="26"/>
        </w:rPr>
      </w:pPr>
    </w:p>
    <w:p w:rsidR="00CE2CBB" w:rsidRPr="00A605C6" w:rsidRDefault="00CE2CBB" w:rsidP="00CE2CBB"/>
    <w:p w:rsidR="00CE2CBB" w:rsidRDefault="00CE2CBB" w:rsidP="00CE2CBB">
      <w:pPr>
        <w:pStyle w:val="CommentText"/>
        <w:spacing w:before="0" w:beforeAutospacing="0" w:after="0"/>
        <w:rPr>
          <w:rFonts w:ascii="Times New Roman" w:eastAsia="Calibri" w:hAnsi="Times New Roman" w:cs="Times New Roman"/>
          <w:b/>
          <w:bCs/>
          <w:sz w:val="26"/>
          <w:szCs w:val="26"/>
        </w:rPr>
        <w:sectPr w:rsidR="00CE2CBB" w:rsidSect="006D4E9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6" w:footer="706" w:gutter="0"/>
          <w:pgNumType w:fmt="lowerRoman" w:start="1"/>
          <w:cols w:space="708"/>
          <w:docGrid w:linePitch="360"/>
        </w:sectPr>
      </w:pPr>
    </w:p>
    <w:p w:rsidR="002250C6" w:rsidRPr="00210BD3" w:rsidRDefault="00B740D6" w:rsidP="0017135E">
      <w:pPr>
        <w:pStyle w:val="CommentText"/>
        <w:jc w:val="center"/>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lastRenderedPageBreak/>
        <w:t xml:space="preserve">PERCEPTION OF FARMERS ON THE IMPACT OF FOOD AND NUTRITION KNOWLEDGE ON SUSTAINABLE MANAGEMENT OF FAMILY RESOURCES IN OSHIMILI SOUTH LOCAL GOVERNMENT AREA </w:t>
      </w:r>
      <w:r w:rsidR="00754A94" w:rsidRPr="00210BD3">
        <w:rPr>
          <w:rFonts w:ascii="Times New Roman" w:eastAsia="Calibri" w:hAnsi="Times New Roman" w:cs="Times New Roman"/>
          <w:b/>
          <w:bCs/>
          <w:sz w:val="26"/>
          <w:szCs w:val="26"/>
        </w:rPr>
        <w:t>OF DELTA</w:t>
      </w:r>
      <w:r w:rsidRPr="00210BD3">
        <w:rPr>
          <w:rFonts w:ascii="Times New Roman" w:eastAsia="Calibri" w:hAnsi="Times New Roman" w:cs="Times New Roman"/>
          <w:b/>
          <w:bCs/>
          <w:sz w:val="26"/>
          <w:szCs w:val="26"/>
        </w:rPr>
        <w:t xml:space="preserve"> STATE</w:t>
      </w:r>
    </w:p>
    <w:p w:rsidR="00774E4D" w:rsidRPr="00BE7DB3" w:rsidRDefault="00774E4D" w:rsidP="007137CC">
      <w:pPr>
        <w:pStyle w:val="CommentText"/>
        <w:autoSpaceDE w:val="0"/>
        <w:spacing w:before="0" w:beforeAutospacing="0" w:after="0"/>
        <w:jc w:val="center"/>
        <w:rPr>
          <w:rFonts w:ascii="Times New Roman" w:eastAsia="Calibri" w:hAnsi="Times New Roman" w:cs="Times New Roman"/>
          <w:b/>
          <w:bCs/>
          <w:sz w:val="16"/>
          <w:szCs w:val="16"/>
        </w:rPr>
      </w:pPr>
    </w:p>
    <w:p w:rsidR="002250C6" w:rsidRPr="00210BD3" w:rsidRDefault="002250C6" w:rsidP="007137CC">
      <w:pPr>
        <w:pStyle w:val="CommentText"/>
        <w:autoSpaceDE w:val="0"/>
        <w:spacing w:before="0" w:beforeAutospacing="0" w:after="0"/>
        <w:jc w:val="center"/>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t>Dr. Isibor, Angela Osas</w:t>
      </w:r>
    </w:p>
    <w:p w:rsidR="002250C6" w:rsidRPr="00210BD3" w:rsidRDefault="002250C6" w:rsidP="007137CC">
      <w:pPr>
        <w:pStyle w:val="CommentText"/>
        <w:autoSpaceDE w:val="0"/>
        <w:spacing w:before="0" w:beforeAutospacing="0" w:after="0"/>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Department of Home Economics</w:t>
      </w:r>
    </w:p>
    <w:p w:rsidR="002250C6" w:rsidRPr="00210BD3" w:rsidRDefault="002250C6" w:rsidP="007137CC">
      <w:pPr>
        <w:pStyle w:val="CommentText"/>
        <w:autoSpaceDE w:val="0"/>
        <w:spacing w:before="0" w:beforeAutospacing="0" w:after="0"/>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Federal College of Education (Technical), Asaba - Delta State</w:t>
      </w:r>
    </w:p>
    <w:p w:rsidR="002250C6" w:rsidRPr="00210BD3" w:rsidRDefault="002250C6" w:rsidP="007137CC">
      <w:pPr>
        <w:pStyle w:val="Heading2"/>
        <w:spacing w:before="0" w:beforeAutospacing="0" w:after="0" w:afterAutospacing="0"/>
        <w:rPr>
          <w:sz w:val="26"/>
          <w:szCs w:val="26"/>
        </w:rPr>
      </w:pPr>
    </w:p>
    <w:p w:rsidR="002250C6" w:rsidRPr="00210BD3" w:rsidRDefault="002250C6" w:rsidP="007137CC">
      <w:pPr>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t>Abstract</w:t>
      </w:r>
    </w:p>
    <w:p w:rsidR="002250C6" w:rsidRPr="00210BD3" w:rsidRDefault="002250C6" w:rsidP="007137CC">
      <w:pPr>
        <w:pStyle w:val="Heading2"/>
        <w:spacing w:before="0" w:beforeAutospacing="0" w:after="0" w:afterAutospacing="0"/>
        <w:jc w:val="both"/>
        <w:rPr>
          <w:bCs w:val="0"/>
          <w:i/>
          <w:sz w:val="26"/>
          <w:szCs w:val="26"/>
        </w:rPr>
      </w:pPr>
      <w:r w:rsidRPr="00210BD3">
        <w:rPr>
          <w:b w:val="0"/>
          <w:i/>
          <w:sz w:val="26"/>
          <w:szCs w:val="26"/>
        </w:rPr>
        <w:t xml:space="preserve">This study determined the perception of farmers on the impact of food and nutrition knowledge on sustainable management of family resources in Oshimili South Local Government Area, Delta State. The study was guided by two objectives and a null hypothesis. The study adopted a descriptive survey design. </w:t>
      </w:r>
      <w:r w:rsidRPr="00210BD3">
        <w:rPr>
          <w:b w:val="0"/>
          <w:i/>
          <w:iCs/>
          <w:sz w:val="26"/>
          <w:szCs w:val="26"/>
        </w:rPr>
        <w:t>The population of the study comprised 87 farmers and was purposively used as sample size. The instrument for data collection was a structured questionnaire which was validated by three experts. The reliability of the instrument was ascertained which yielded an index of .69, using the Cronbach alpha reliability test. M</w:t>
      </w:r>
      <w:r w:rsidRPr="00210BD3">
        <w:rPr>
          <w:b w:val="0"/>
          <w:bCs w:val="0"/>
          <w:i/>
          <w:sz w:val="26"/>
          <w:szCs w:val="26"/>
        </w:rPr>
        <w:t>ean and standard deviation statistics were used to answer the research questions while the null hypothesis was tested at .05 level of significance using t-test statistical technique.</w:t>
      </w:r>
      <w:r w:rsidRPr="00210BD3">
        <w:rPr>
          <w:b w:val="0"/>
          <w:i/>
          <w:sz w:val="26"/>
          <w:szCs w:val="26"/>
        </w:rPr>
        <w:t xml:space="preserve"> The result of the study showed that food and nutrition play a significant role in maximizing family resources. The findings revealed that the </w:t>
      </w:r>
      <w:r w:rsidRPr="00210BD3">
        <w:rPr>
          <w:b w:val="0"/>
          <w:bCs w:val="0"/>
          <w:i/>
          <w:sz w:val="26"/>
          <w:szCs w:val="26"/>
        </w:rPr>
        <w:t xml:space="preserve">farmers </w:t>
      </w:r>
      <w:r w:rsidRPr="00210BD3">
        <w:rPr>
          <w:b w:val="0"/>
          <w:i/>
          <w:sz w:val="26"/>
          <w:szCs w:val="26"/>
        </w:rPr>
        <w:t>strongly agreed that the knowledge of food and nutrition improves the family's dietary quality</w:t>
      </w:r>
      <w:r w:rsidRPr="00210BD3">
        <w:rPr>
          <w:rStyle w:val="17"/>
          <w:rFonts w:ascii="Times New Roman" w:hAnsi="Times New Roman" w:cs="Times New Roman"/>
          <w:i/>
          <w:sz w:val="26"/>
          <w:szCs w:val="26"/>
        </w:rPr>
        <w:t xml:space="preserve">, </w:t>
      </w:r>
      <w:r w:rsidRPr="00210BD3">
        <w:rPr>
          <w:rStyle w:val="17"/>
          <w:rFonts w:ascii="Times New Roman" w:hAnsi="Times New Roman" w:cs="Times New Roman"/>
          <w:b w:val="0"/>
          <w:bCs w:val="0"/>
          <w:i/>
          <w:sz w:val="26"/>
          <w:szCs w:val="26"/>
        </w:rPr>
        <w:t>and</w:t>
      </w:r>
      <w:r w:rsidRPr="00210BD3">
        <w:rPr>
          <w:b w:val="0"/>
          <w:i/>
          <w:sz w:val="26"/>
          <w:szCs w:val="26"/>
        </w:rPr>
        <w:t>improves the family's healthcare, among others. Food and nutrition knowledge was associated with sustainable management of family resources and illiteracy, poverty, and shortage of food supply, among others were the challenges of sustainable management of family resources. There was no significant difference between the mean ratings of male and female farmers’ opinions on the impact of food and nutrition on the sustainable management of family resources. It is concluded that sustainable managemen</w:t>
      </w:r>
      <w:r w:rsidR="00D932CA" w:rsidRPr="00210BD3">
        <w:rPr>
          <w:b w:val="0"/>
          <w:i/>
          <w:sz w:val="26"/>
          <w:szCs w:val="26"/>
        </w:rPr>
        <w:t>t of family resources is associa</w:t>
      </w:r>
      <w:r w:rsidRPr="00210BD3">
        <w:rPr>
          <w:b w:val="0"/>
          <w:i/>
          <w:sz w:val="26"/>
          <w:szCs w:val="26"/>
        </w:rPr>
        <w:t>ted with the quality of food and nutrition as well as activities of farmers. It is recommended that relevant government agencies should empower both male and female farmers with the necessary knowledge and information to increase the availability of food for the sustainable management of family resources.</w:t>
      </w:r>
    </w:p>
    <w:p w:rsidR="002250C6" w:rsidRPr="00774E4D" w:rsidRDefault="002250C6" w:rsidP="007137CC">
      <w:pPr>
        <w:spacing w:after="0" w:line="240" w:lineRule="auto"/>
        <w:jc w:val="both"/>
        <w:rPr>
          <w:rFonts w:ascii="Times New Roman" w:hAnsi="Times New Roman" w:cs="Times New Roman"/>
          <w:b/>
          <w:sz w:val="16"/>
          <w:szCs w:val="16"/>
        </w:rPr>
      </w:pPr>
    </w:p>
    <w:p w:rsidR="002250C6" w:rsidRPr="00210BD3" w:rsidRDefault="002250C6"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 xml:space="preserve">Keywords: </w:t>
      </w:r>
      <w:r w:rsidRPr="00210BD3">
        <w:rPr>
          <w:rFonts w:ascii="Times New Roman" w:hAnsi="Times New Roman" w:cs="Times New Roman"/>
          <w:sz w:val="26"/>
          <w:szCs w:val="26"/>
        </w:rPr>
        <w:t>Food, Nutrition, Sustainable management, Family, Resources</w:t>
      </w:r>
    </w:p>
    <w:p w:rsidR="002250C6" w:rsidRPr="00210BD3" w:rsidRDefault="00330E99" w:rsidP="007137CC">
      <w:pPr>
        <w:spacing w:line="240" w:lineRule="auto"/>
        <w:rPr>
          <w:rFonts w:ascii="Times New Roman" w:hAnsi="Times New Roman" w:cs="Times New Roman"/>
          <w:sz w:val="26"/>
          <w:szCs w:val="26"/>
        </w:rPr>
      </w:pPr>
      <w:r w:rsidRPr="00330E99">
        <w:rPr>
          <w:rFonts w:ascii="Times New Roman" w:hAnsi="Times New Roman" w:cs="Times New Roman"/>
          <w:noProof/>
          <w:sz w:val="26"/>
          <w:szCs w:val="26"/>
        </w:rPr>
        <w:pict>
          <v:line id="Straight Connector 5" o:spid="_x0000_s1030" style="position:absolute;z-index:251662336;visibility:visible" from="-5.05pt,12.85pt" to="48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" strokecolor="black [3040]" strokeweight="1.5pt"/>
        </w:pict>
      </w:r>
    </w:p>
    <w:p w:rsidR="00210BD3" w:rsidRDefault="00210BD3" w:rsidP="007137CC">
      <w:pPr>
        <w:pStyle w:val="NormalWeb"/>
        <w:spacing w:before="0" w:beforeAutospacing="0" w:after="0" w:afterAutospacing="0"/>
        <w:jc w:val="both"/>
        <w:rPr>
          <w:b/>
          <w:sz w:val="26"/>
          <w:szCs w:val="26"/>
        </w:rPr>
        <w:sectPr w:rsidR="00210BD3" w:rsidSect="006D4E94">
          <w:pgSz w:w="12240" w:h="15840" w:code="1"/>
          <w:pgMar w:top="1440" w:right="1440" w:bottom="1440" w:left="1440" w:header="706" w:footer="706" w:gutter="0"/>
          <w:pgNumType w:start="1"/>
          <w:cols w:space="708"/>
          <w:docGrid w:linePitch="360"/>
        </w:sectPr>
      </w:pPr>
    </w:p>
    <w:p w:rsidR="002250C6" w:rsidRPr="00210BD3" w:rsidRDefault="002250C6" w:rsidP="007137CC">
      <w:pPr>
        <w:pStyle w:val="NormalWeb"/>
        <w:spacing w:before="0" w:beforeAutospacing="0" w:after="0" w:afterAutospacing="0"/>
        <w:jc w:val="both"/>
        <w:rPr>
          <w:sz w:val="26"/>
          <w:szCs w:val="26"/>
        </w:rPr>
      </w:pPr>
      <w:r w:rsidRPr="00210BD3">
        <w:rPr>
          <w:b/>
          <w:sz w:val="26"/>
          <w:szCs w:val="26"/>
        </w:rPr>
        <w:lastRenderedPageBreak/>
        <w:t>Introduction</w:t>
      </w:r>
    </w:p>
    <w:p w:rsidR="002250C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Food is a primary need of humans and food security is central to sustainable living. Food security is thus, recognized as a crucial component of sustainability plans and a key concern of national </w:t>
      </w:r>
      <w:r w:rsidRPr="00210BD3">
        <w:rPr>
          <w:rFonts w:ascii="Times New Roman" w:eastAsia="Calibri" w:hAnsi="Times New Roman" w:cs="Times New Roman"/>
          <w:sz w:val="26"/>
          <w:szCs w:val="26"/>
        </w:rPr>
        <w:lastRenderedPageBreak/>
        <w:t>security. It is key to building and sustaining a healthy economy and achieving social and environmental wellness, which are the three bottom lines of sustainable management of family resource</w:t>
      </w:r>
      <w:r w:rsidR="00665057" w:rsidRPr="00210BD3">
        <w:rPr>
          <w:rFonts w:ascii="Times New Roman" w:eastAsia="Calibri" w:hAnsi="Times New Roman" w:cs="Times New Roman"/>
          <w:sz w:val="26"/>
          <w:szCs w:val="26"/>
        </w:rPr>
        <w:t>s (Fanzo, 2019)</w:t>
      </w:r>
      <w:r w:rsidRPr="00210BD3">
        <w:rPr>
          <w:rFonts w:ascii="Times New Roman" w:eastAsia="Calibri" w:hAnsi="Times New Roman" w:cs="Times New Roman"/>
          <w:sz w:val="26"/>
          <w:szCs w:val="26"/>
        </w:rPr>
        <w:t>.</w:t>
      </w:r>
      <w:r w:rsidRPr="00210BD3">
        <w:rPr>
          <w:rStyle w:val="18"/>
          <w:rFonts w:ascii="Times New Roman" w:eastAsia="Calibri" w:hAnsi="Times New Roman" w:cs="Times New Roman"/>
          <w:sz w:val="26"/>
          <w:szCs w:val="26"/>
        </w:rPr>
        <w:t xml:space="preserve">According to </w:t>
      </w:r>
      <w:r w:rsidRPr="00210BD3">
        <w:rPr>
          <w:rStyle w:val="18"/>
          <w:rFonts w:ascii="Times New Roman" w:eastAsia="Calibri" w:hAnsi="Times New Roman" w:cs="Times New Roman"/>
          <w:sz w:val="26"/>
          <w:szCs w:val="26"/>
        </w:rPr>
        <w:lastRenderedPageBreak/>
        <w:t>Barrett (2017), lack of food deprives people of the needed energy to participate in socio-economic activities. It is important to note here that large amount of food production in the world does not ensure any country’s food security. Similarly, the huge production of food at the national level does not guarantee household food security. This may be due to the unfair distribution of resources, variation in production functions, and motives for productivity. That is why even if production increases over time; food insecurity, malnutrition and hunger remain the main agenda and much more serious problems in the world today.</w:t>
      </w:r>
    </w:p>
    <w:p w:rsidR="002250C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Style w:val="18"/>
          <w:rFonts w:ascii="Times New Roman" w:eastAsia="Calibri" w:hAnsi="Times New Roman" w:cs="Times New Roman"/>
          <w:sz w:val="26"/>
          <w:szCs w:val="26"/>
        </w:rPr>
        <w:t>Nutrition is defined as the science of the intake and use of food and other nourishing materials, which include nutrients and other substances they contain; and of their actions within the body including ingestion, digestion, absorption, metabolism and excretion (</w:t>
      </w:r>
      <w:r w:rsidRPr="00210BD3">
        <w:rPr>
          <w:rFonts w:ascii="Times New Roman" w:eastAsia="Calibri" w:hAnsi="Times New Roman" w:cs="Times New Roman"/>
          <w:sz w:val="26"/>
          <w:szCs w:val="26"/>
        </w:rPr>
        <w:t>Chukwu, 2014)</w:t>
      </w:r>
      <w:r w:rsidRPr="00210BD3">
        <w:rPr>
          <w:rStyle w:val="18"/>
          <w:rFonts w:ascii="Times New Roman" w:eastAsia="Calibri" w:hAnsi="Times New Roman" w:cs="Times New Roman"/>
          <w:sz w:val="26"/>
          <w:szCs w:val="26"/>
        </w:rPr>
        <w:t xml:space="preserve">. Lack of adequate knowledge of food and nutrition could lead to malnutrition. Malnutrition continues to be a problem of public health importance despite the variousinterventions in the past. High morbidity and mortality in children have been largelyattributed to the high prevalence of protein-energy malnutrition (PEM) and micronutrient deficiencies (Agary &amp; Gillepie, 2019). This phenomenon cuts across all ages, groups and categories of individuals in Nigeria. Recent estimates put the number of hungry people in Nigeria at over 53 million, which is about 30% of the country’s total population of roughly 200 million, and 52% live in poverty (Chukwu, 2014). These are matters of grave concern largely because Nigeria </w:t>
      </w:r>
      <w:r w:rsidRPr="00210BD3">
        <w:rPr>
          <w:rStyle w:val="18"/>
          <w:rFonts w:ascii="Times New Roman" w:eastAsia="Calibri" w:hAnsi="Times New Roman" w:cs="Times New Roman"/>
          <w:sz w:val="26"/>
          <w:szCs w:val="26"/>
        </w:rPr>
        <w:lastRenderedPageBreak/>
        <w:t>was self-sufficient in food production and was indeed a net exporter of food to other regions of the continent in the 1950s and 1960s. This changed dramatically for the worse following the global economic crises that hit developing countries beginning from the late 1970s onward. The discovery of crude oil and rising revenue from the country’s petroleum sector encouraged official neglect of the agricultural sector and turned Nigeria into a net importer of food (</w:t>
      </w:r>
      <w:r w:rsidRPr="00210BD3">
        <w:rPr>
          <w:rFonts w:ascii="Times New Roman" w:eastAsia="Calibri" w:hAnsi="Times New Roman" w:cs="Times New Roman"/>
          <w:sz w:val="26"/>
          <w:szCs w:val="26"/>
        </w:rPr>
        <w:t>Idoko, 2016)</w:t>
      </w:r>
      <w:r w:rsidRPr="00210BD3">
        <w:rPr>
          <w:rStyle w:val="18"/>
          <w:rFonts w:ascii="Times New Roman" w:eastAsia="Calibri" w:hAnsi="Times New Roman" w:cs="Times New Roman"/>
          <w:sz w:val="26"/>
          <w:szCs w:val="26"/>
        </w:rPr>
        <w:t>. By 2009 for example the Federal Ministry of Agriculture estimated that Nigeria was spending over 3 billion</w:t>
      </w:r>
      <w:r w:rsidR="00CB3FD3" w:rsidRPr="00210BD3">
        <w:rPr>
          <w:rStyle w:val="18"/>
          <w:rFonts w:ascii="Times New Roman" w:eastAsia="Calibri" w:hAnsi="Times New Roman" w:cs="Times New Roman"/>
          <w:sz w:val="26"/>
          <w:szCs w:val="26"/>
        </w:rPr>
        <w:t xml:space="preserve"> naira annually on food importa</w:t>
      </w:r>
      <w:r w:rsidRPr="00210BD3">
        <w:rPr>
          <w:rStyle w:val="18"/>
          <w:rFonts w:ascii="Times New Roman" w:eastAsia="Calibri" w:hAnsi="Times New Roman" w:cs="Times New Roman"/>
          <w:sz w:val="26"/>
          <w:szCs w:val="26"/>
        </w:rPr>
        <w:t>tion.</w:t>
      </w:r>
    </w:p>
    <w:p w:rsidR="002250C6" w:rsidRPr="00210BD3" w:rsidRDefault="002250C6" w:rsidP="007137CC">
      <w:pPr>
        <w:spacing w:after="0" w:line="240" w:lineRule="auto"/>
        <w:ind w:firstLine="720"/>
        <w:jc w:val="both"/>
        <w:rPr>
          <w:rFonts w:ascii="Times New Roman" w:eastAsia="Times New Roman" w:hAnsi="Times New Roman" w:cs="Times New Roman"/>
          <w:sz w:val="26"/>
          <w:szCs w:val="26"/>
        </w:rPr>
      </w:pPr>
      <w:r w:rsidRPr="00210BD3">
        <w:rPr>
          <w:rStyle w:val="18"/>
          <w:rFonts w:ascii="Times New Roman" w:eastAsia="Calibri" w:hAnsi="Times New Roman" w:cs="Times New Roman"/>
          <w:sz w:val="26"/>
          <w:szCs w:val="26"/>
        </w:rPr>
        <w:t>Despite the fact that Nigeria has abundant natural resources, most of its socioeconomicindicators are extremely low and discouraging. Many Nigerians are affected byfood shortage problems, that is, they are living below the poverty line (</w:t>
      </w:r>
      <w:r w:rsidRPr="00210BD3">
        <w:rPr>
          <w:rFonts w:ascii="Times New Roman" w:eastAsia="Calibri" w:hAnsi="Times New Roman" w:cs="Times New Roman"/>
          <w:sz w:val="26"/>
          <w:szCs w:val="26"/>
        </w:rPr>
        <w:t>Ibikunle &amp; Akintoye, 2019)</w:t>
      </w:r>
      <w:r w:rsidRPr="00210BD3">
        <w:rPr>
          <w:rStyle w:val="18"/>
          <w:rFonts w:ascii="Times New Roman" w:eastAsia="Calibri" w:hAnsi="Times New Roman" w:cs="Times New Roman"/>
          <w:sz w:val="26"/>
          <w:szCs w:val="26"/>
        </w:rPr>
        <w:t xml:space="preserve">. Among the causal factors, per capita land holding with increasing population growth, education, per capita income of the household, soil fertility, conflict, and under-funded agriculture are the major and commonly mentioned factors. </w:t>
      </w:r>
      <w:r w:rsidRPr="00210BD3">
        <w:rPr>
          <w:rFonts w:ascii="Times New Roman" w:hAnsi="Times New Roman" w:cs="Times New Roman"/>
          <w:sz w:val="26"/>
          <w:szCs w:val="26"/>
        </w:rPr>
        <w:t>Urbanization has also been perceived as mushrooming out of control and representing a major problem for humankind. If urbanization gets out of control, then the emergence of very large metropolis may undermine any progress towards the management of family resources (</w:t>
      </w:r>
      <w:r w:rsidRPr="00210BD3">
        <w:rPr>
          <w:rFonts w:ascii="Times New Roman" w:eastAsia="Calibri" w:hAnsi="Times New Roman" w:cs="Times New Roman"/>
          <w:sz w:val="26"/>
          <w:szCs w:val="26"/>
        </w:rPr>
        <w:t>Hwalla et al., 2016)</w:t>
      </w:r>
      <w:r w:rsidRPr="00210BD3">
        <w:rPr>
          <w:rFonts w:ascii="Times New Roman" w:hAnsi="Times New Roman" w:cs="Times New Roman"/>
          <w:sz w:val="26"/>
          <w:szCs w:val="26"/>
        </w:rPr>
        <w:t xml:space="preserve">. The challenge of supplying nutritionally adequate and safe food to metropolitan families is substantial. Accomplishing this task under conditions of growth and congestion demands that policymakers seize opportunities for integrating </w:t>
      </w:r>
      <w:r w:rsidRPr="00210BD3">
        <w:rPr>
          <w:rFonts w:ascii="Times New Roman" w:hAnsi="Times New Roman" w:cs="Times New Roman"/>
          <w:sz w:val="26"/>
          <w:szCs w:val="26"/>
        </w:rPr>
        <w:lastRenderedPageBreak/>
        <w:t>knowledge of food and nutrition resource management and planning efforts, understanding potential linkages between rural and urban areas, and anticipating the changing needs of a country’s citizens in rural and urban settings (Idoko, 2016). The need to address issues associated with the sustainable management of family resources is a pressing one as urban populations in both developed and developing countries continue to increase (</w:t>
      </w:r>
      <w:r w:rsidRPr="00210BD3">
        <w:rPr>
          <w:rFonts w:ascii="Times New Roman" w:eastAsia="Calibri" w:hAnsi="Times New Roman" w:cs="Times New Roman"/>
          <w:sz w:val="26"/>
          <w:szCs w:val="26"/>
        </w:rPr>
        <w:t>Gellert, 2020)</w:t>
      </w:r>
      <w:r w:rsidRPr="00210BD3">
        <w:rPr>
          <w:rFonts w:ascii="Times New Roman" w:hAnsi="Times New Roman" w:cs="Times New Roman"/>
          <w:sz w:val="26"/>
          <w:szCs w:val="26"/>
        </w:rPr>
        <w:t>. Be that as it may, without farmers, the nutritional need of the family and society at large will not be provided for. Therefore, farmers are one of the most important members of society. They are the producers of food for the people.  Farmers own and operate farms; they grow a range of crops and such as vegetables, grains, or fruit, and raise animals for milk, eggs, and meat. The importance of farmers cannot be overemphasized, as they are responsible for the accessibility to fresh foods, and contribute towards other resources needed by the family.</w:t>
      </w:r>
    </w:p>
    <w:p w:rsidR="002250C6" w:rsidRPr="00210BD3" w:rsidRDefault="002250C6"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Family resources are those things which the family can use to meet their needs and reach their goals. The family has different classes of resources: human resources and non-human/material resources. Human resources are the resources which exist within an </w:t>
      </w:r>
      <w:r w:rsidRPr="00210BD3">
        <w:rPr>
          <w:rFonts w:ascii="Times New Roman" w:hAnsi="Times New Roman" w:cs="Times New Roman"/>
          <w:sz w:val="26"/>
          <w:szCs w:val="26"/>
        </w:rPr>
        <w:lastRenderedPageBreak/>
        <w:t>individual. They are personal and unique to each person. Examples are knowledge, skill, imagination/creativity, capabilities, energy and time. Non-human/material resources are resources that exist outside people or the family, but they can be controlled by the family. Examples of these are money and possessions. Money is a very important resource that can be used to get most family needs. Money is used to measure the value of the property we have. Possessions are things owned by the family, which can be used to achieve some other family goals. Family possessions can be grouped into durable possessions (possessions that last for a long time, e.g. furniture, houses, cars and appliances) and consumable possessions (possessions that are used up over time, such as foodstuff. The food/diet that people desire to eat is decided by many factors, such as family resources such as family income and available time Parents and homemakers might be aware of the influence of food and nutrition knowledge on family resource management to meet the nutritional needs of their children. This study is therefore intended to explore the perception of farmers who are the food producers, on the impact of food and nutrition knowledge on sustainable management of family resources.</w:t>
      </w:r>
    </w:p>
    <w:p w:rsidR="00210BD3" w:rsidRDefault="00210BD3" w:rsidP="007137CC">
      <w:pPr>
        <w:spacing w:after="0" w:line="240" w:lineRule="auto"/>
        <w:jc w:val="both"/>
        <w:rPr>
          <w:rFonts w:ascii="Times New Roman" w:hAnsi="Times New Roman" w:cs="Times New Roman"/>
          <w:b/>
          <w:bCs/>
          <w:sz w:val="26"/>
          <w:szCs w:val="26"/>
        </w:rPr>
        <w:sectPr w:rsidR="00210BD3" w:rsidSect="00210BD3">
          <w:type w:val="continuous"/>
          <w:pgSz w:w="12240" w:h="15840" w:code="1"/>
          <w:pgMar w:top="1440" w:right="1440" w:bottom="1440" w:left="1440" w:header="706" w:footer="706" w:gutter="0"/>
          <w:cols w:num="2" w:space="540"/>
          <w:docGrid w:linePitch="360"/>
        </w:sectPr>
      </w:pPr>
    </w:p>
    <w:p w:rsidR="003D7D80" w:rsidRPr="00210BD3" w:rsidRDefault="003D7D80" w:rsidP="007137CC">
      <w:pPr>
        <w:spacing w:after="0" w:line="240" w:lineRule="auto"/>
        <w:jc w:val="both"/>
        <w:rPr>
          <w:rFonts w:ascii="Times New Roman" w:hAnsi="Times New Roman" w:cs="Times New Roman"/>
          <w:b/>
          <w:bCs/>
          <w:sz w:val="26"/>
          <w:szCs w:val="26"/>
        </w:rPr>
      </w:pPr>
    </w:p>
    <w:p w:rsidR="00774E4D" w:rsidRDefault="00774E4D" w:rsidP="007137CC">
      <w:pPr>
        <w:spacing w:after="0" w:line="240" w:lineRule="auto"/>
        <w:jc w:val="both"/>
        <w:rPr>
          <w:rFonts w:ascii="Times New Roman" w:hAnsi="Times New Roman" w:cs="Times New Roman"/>
          <w:b/>
          <w:bCs/>
          <w:sz w:val="26"/>
          <w:szCs w:val="26"/>
        </w:rPr>
        <w:sectPr w:rsidR="00774E4D" w:rsidSect="00210BD3">
          <w:type w:val="continuous"/>
          <w:pgSz w:w="12240" w:h="15840" w:code="1"/>
          <w:pgMar w:top="1440" w:right="1440" w:bottom="1440" w:left="1440" w:header="706" w:footer="706" w:gutter="0"/>
          <w:cols w:space="708"/>
          <w:docGrid w:linePitch="360"/>
        </w:sectPr>
      </w:pPr>
    </w:p>
    <w:p w:rsidR="002250C6" w:rsidRPr="00210BD3" w:rsidRDefault="002250C6" w:rsidP="007137CC">
      <w:pPr>
        <w:spacing w:after="0" w:line="240" w:lineRule="auto"/>
        <w:jc w:val="both"/>
        <w:rPr>
          <w:rFonts w:ascii="Times New Roman" w:hAnsi="Times New Roman" w:cs="Times New Roman"/>
          <w:bCs/>
          <w:sz w:val="26"/>
          <w:szCs w:val="26"/>
        </w:rPr>
      </w:pPr>
      <w:r w:rsidRPr="00210BD3">
        <w:rPr>
          <w:rFonts w:ascii="Times New Roman" w:hAnsi="Times New Roman" w:cs="Times New Roman"/>
          <w:b/>
          <w:bCs/>
          <w:sz w:val="26"/>
          <w:szCs w:val="26"/>
        </w:rPr>
        <w:lastRenderedPageBreak/>
        <w:t>Objectives of the Study</w:t>
      </w:r>
    </w:p>
    <w:p w:rsidR="002250C6" w:rsidRPr="00210BD3" w:rsidRDefault="002250C6" w:rsidP="007137CC">
      <w:pPr>
        <w:pStyle w:val="ListParagraph"/>
        <w:numPr>
          <w:ilvl w:val="0"/>
          <w:numId w:val="1"/>
        </w:numPr>
        <w:spacing w:before="0" w:beforeAutospacing="0" w:after="0" w:line="240" w:lineRule="auto"/>
        <w:ind w:left="0" w:hanging="540"/>
        <w:jc w:val="both"/>
        <w:rPr>
          <w:rFonts w:ascii="Times New Roman" w:eastAsia="Calibri" w:hAnsi="Times New Roman"/>
          <w:sz w:val="26"/>
          <w:szCs w:val="26"/>
        </w:rPr>
      </w:pPr>
      <w:r w:rsidRPr="00210BD3">
        <w:rPr>
          <w:rFonts w:ascii="Times New Roman" w:eastAsia="Calibri" w:hAnsi="Times New Roman"/>
          <w:sz w:val="26"/>
          <w:szCs w:val="26"/>
        </w:rPr>
        <w:t xml:space="preserve">Identify the perceived impacts of food and nutrition knowledge on sustainable management of family resources in </w:t>
      </w:r>
      <w:r w:rsidRPr="00210BD3">
        <w:rPr>
          <w:rFonts w:ascii="Times New Roman" w:hAnsi="Times New Roman"/>
          <w:iCs/>
          <w:sz w:val="26"/>
          <w:szCs w:val="26"/>
        </w:rPr>
        <w:t>Oshimili South Local Government Area</w:t>
      </w:r>
      <w:r w:rsidRPr="00210BD3">
        <w:rPr>
          <w:rFonts w:ascii="Times New Roman" w:eastAsia="Calibri" w:hAnsi="Times New Roman"/>
          <w:sz w:val="26"/>
          <w:szCs w:val="26"/>
        </w:rPr>
        <w:t xml:space="preserve"> and</w:t>
      </w:r>
    </w:p>
    <w:p w:rsidR="00FE2D03" w:rsidRPr="00210BD3" w:rsidRDefault="00FE2D03" w:rsidP="007137CC">
      <w:pPr>
        <w:pStyle w:val="ListParagraph"/>
        <w:spacing w:after="0" w:line="240" w:lineRule="auto"/>
        <w:ind w:left="0" w:hanging="540"/>
        <w:jc w:val="both"/>
        <w:rPr>
          <w:rFonts w:ascii="Times New Roman" w:eastAsia="Calibri" w:hAnsi="Times New Roman"/>
          <w:sz w:val="26"/>
          <w:szCs w:val="26"/>
        </w:rPr>
      </w:pPr>
    </w:p>
    <w:p w:rsidR="002250C6" w:rsidRPr="00210BD3" w:rsidRDefault="002250C6" w:rsidP="007137CC">
      <w:pPr>
        <w:pStyle w:val="ListParagraph"/>
        <w:numPr>
          <w:ilvl w:val="0"/>
          <w:numId w:val="1"/>
        </w:numPr>
        <w:spacing w:after="0" w:line="240" w:lineRule="auto"/>
        <w:ind w:left="0" w:hanging="540"/>
        <w:jc w:val="both"/>
        <w:rPr>
          <w:rFonts w:ascii="Times New Roman" w:eastAsia="Calibri" w:hAnsi="Times New Roman"/>
          <w:sz w:val="26"/>
          <w:szCs w:val="26"/>
        </w:rPr>
      </w:pPr>
      <w:r w:rsidRPr="00210BD3">
        <w:rPr>
          <w:rFonts w:ascii="Times New Roman" w:eastAsia="Calibri" w:hAnsi="Times New Roman"/>
          <w:sz w:val="26"/>
          <w:szCs w:val="26"/>
        </w:rPr>
        <w:lastRenderedPageBreak/>
        <w:t>Ascertain the perception of farmers on the challenges to the sustainable management of family resources</w:t>
      </w:r>
      <w:r w:rsidRPr="00210BD3">
        <w:rPr>
          <w:rFonts w:ascii="Times New Roman" w:hAnsi="Times New Roman"/>
          <w:bCs/>
          <w:sz w:val="26"/>
          <w:szCs w:val="26"/>
        </w:rPr>
        <w:t>.</w:t>
      </w:r>
    </w:p>
    <w:p w:rsidR="00ED7299" w:rsidRPr="00210BD3" w:rsidRDefault="00ED7299" w:rsidP="007137CC">
      <w:pPr>
        <w:spacing w:after="0"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Research questions</w:t>
      </w:r>
    </w:p>
    <w:p w:rsidR="00CC73F9" w:rsidRPr="00210BD3" w:rsidRDefault="00ED7299" w:rsidP="007137CC">
      <w:pPr>
        <w:pStyle w:val="ListParagraph"/>
        <w:numPr>
          <w:ilvl w:val="3"/>
          <w:numId w:val="1"/>
        </w:numPr>
        <w:spacing w:before="0" w:beforeAutospacing="0" w:after="0" w:line="240" w:lineRule="auto"/>
        <w:ind w:left="0" w:hanging="540"/>
        <w:jc w:val="both"/>
        <w:rPr>
          <w:rFonts w:ascii="Times New Roman" w:eastAsia="Calibri" w:hAnsi="Times New Roman"/>
          <w:sz w:val="26"/>
          <w:szCs w:val="26"/>
        </w:rPr>
      </w:pPr>
      <w:r w:rsidRPr="00210BD3">
        <w:rPr>
          <w:rFonts w:ascii="Times New Roman" w:eastAsia="Calibri" w:hAnsi="Times New Roman"/>
          <w:sz w:val="26"/>
          <w:szCs w:val="26"/>
        </w:rPr>
        <w:t xml:space="preserve">What is the difference between the mean rating of male and female farmers' opinions on the impact of food and nutrition knowledge on sustainable </w:t>
      </w:r>
      <w:r w:rsidRPr="00210BD3">
        <w:rPr>
          <w:rFonts w:ascii="Times New Roman" w:eastAsia="Calibri" w:hAnsi="Times New Roman"/>
          <w:sz w:val="26"/>
          <w:szCs w:val="26"/>
        </w:rPr>
        <w:lastRenderedPageBreak/>
        <w:t xml:space="preserve">management of family resources in </w:t>
      </w:r>
      <w:r w:rsidRPr="00210BD3">
        <w:rPr>
          <w:rFonts w:ascii="Times New Roman" w:hAnsi="Times New Roman"/>
          <w:iCs/>
          <w:sz w:val="26"/>
          <w:szCs w:val="26"/>
        </w:rPr>
        <w:t>Oshimili South Local Government Area</w:t>
      </w:r>
      <w:r w:rsidR="00F03E18" w:rsidRPr="00210BD3">
        <w:rPr>
          <w:rFonts w:ascii="Times New Roman" w:eastAsia="Calibri" w:hAnsi="Times New Roman"/>
          <w:sz w:val="26"/>
          <w:szCs w:val="26"/>
        </w:rPr>
        <w:t>?</w:t>
      </w:r>
    </w:p>
    <w:p w:rsidR="00CC73F9" w:rsidRPr="00210BD3" w:rsidRDefault="00CC73F9" w:rsidP="007137CC">
      <w:pPr>
        <w:pStyle w:val="ListParagraph"/>
        <w:spacing w:before="0" w:beforeAutospacing="0" w:after="0" w:line="240" w:lineRule="auto"/>
        <w:ind w:left="0" w:hanging="540"/>
        <w:jc w:val="both"/>
        <w:rPr>
          <w:rFonts w:ascii="Times New Roman" w:eastAsia="Calibri" w:hAnsi="Times New Roman"/>
          <w:sz w:val="26"/>
          <w:szCs w:val="26"/>
        </w:rPr>
      </w:pPr>
    </w:p>
    <w:p w:rsidR="00ED7299" w:rsidRPr="00210BD3" w:rsidRDefault="00ED7299" w:rsidP="007137CC">
      <w:pPr>
        <w:pStyle w:val="ListParagraph"/>
        <w:numPr>
          <w:ilvl w:val="3"/>
          <w:numId w:val="1"/>
        </w:numPr>
        <w:spacing w:before="0" w:beforeAutospacing="0" w:after="0" w:line="240" w:lineRule="auto"/>
        <w:ind w:left="0" w:hanging="540"/>
        <w:jc w:val="both"/>
        <w:rPr>
          <w:rFonts w:ascii="Times New Roman" w:eastAsia="Calibri" w:hAnsi="Times New Roman"/>
          <w:sz w:val="26"/>
          <w:szCs w:val="26"/>
        </w:rPr>
      </w:pPr>
      <w:r w:rsidRPr="00210BD3">
        <w:rPr>
          <w:rFonts w:ascii="Times New Roman" w:eastAsia="Calibri" w:hAnsi="Times New Roman"/>
          <w:sz w:val="26"/>
          <w:szCs w:val="26"/>
        </w:rPr>
        <w:t xml:space="preserve">What is the difference between the mean rating of male and female farmers' opinions on the challenges of sustainable management of family resources in </w:t>
      </w:r>
      <w:r w:rsidRPr="00210BD3">
        <w:rPr>
          <w:rFonts w:ascii="Times New Roman" w:hAnsi="Times New Roman"/>
          <w:iCs/>
          <w:sz w:val="26"/>
          <w:szCs w:val="26"/>
        </w:rPr>
        <w:t>Oshimili South Local Government Area</w:t>
      </w:r>
      <w:r w:rsidR="00F03E18" w:rsidRPr="00210BD3">
        <w:rPr>
          <w:rFonts w:ascii="Times New Roman" w:hAnsi="Times New Roman"/>
          <w:bCs/>
          <w:sz w:val="26"/>
          <w:szCs w:val="26"/>
        </w:rPr>
        <w:t>?</w:t>
      </w:r>
    </w:p>
    <w:p w:rsidR="00ED7299" w:rsidRPr="004D3253" w:rsidRDefault="00ED7299" w:rsidP="007137CC">
      <w:pPr>
        <w:spacing w:after="0" w:line="240" w:lineRule="auto"/>
        <w:jc w:val="both"/>
        <w:rPr>
          <w:rFonts w:ascii="Times New Roman" w:eastAsia="Calibri" w:hAnsi="Times New Roman" w:cs="Times New Roman"/>
          <w:b/>
          <w:sz w:val="16"/>
          <w:szCs w:val="16"/>
        </w:rPr>
      </w:pPr>
    </w:p>
    <w:p w:rsidR="002250C6" w:rsidRPr="00210BD3" w:rsidRDefault="002250C6" w:rsidP="007137CC">
      <w:pPr>
        <w:spacing w:after="0"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 xml:space="preserve">Hypotheses </w:t>
      </w:r>
    </w:p>
    <w:p w:rsidR="002250C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H</w:t>
      </w:r>
      <w:r w:rsidR="009B3862" w:rsidRPr="00210BD3">
        <w:rPr>
          <w:rFonts w:ascii="Times New Roman" w:eastAsia="Calibri" w:hAnsi="Times New Roman" w:cs="Times New Roman"/>
          <w:sz w:val="26"/>
          <w:szCs w:val="26"/>
        </w:rPr>
        <w:t>0</w:t>
      </w:r>
      <w:r w:rsidRPr="00210BD3">
        <w:rPr>
          <w:rFonts w:ascii="Times New Roman" w:eastAsia="Calibri" w:hAnsi="Times New Roman" w:cs="Times New Roman"/>
          <w:sz w:val="26"/>
          <w:szCs w:val="26"/>
          <w:vertAlign w:val="subscript"/>
        </w:rPr>
        <w:t>1</w:t>
      </w:r>
      <w:r w:rsidRPr="00210BD3">
        <w:rPr>
          <w:rFonts w:ascii="Times New Roman" w:eastAsia="Calibri" w:hAnsi="Times New Roman" w:cs="Times New Roman"/>
          <w:b/>
          <w:sz w:val="26"/>
          <w:szCs w:val="26"/>
          <w:vertAlign w:val="subscript"/>
        </w:rPr>
        <w:t>:</w:t>
      </w:r>
      <w:r w:rsidRPr="00210BD3">
        <w:rPr>
          <w:rFonts w:ascii="Times New Roman" w:eastAsia="Calibri" w:hAnsi="Times New Roman" w:cs="Times New Roman"/>
          <w:sz w:val="26"/>
          <w:szCs w:val="26"/>
        </w:rPr>
        <w:t xml:space="preserve"> There is no significant difference between the mean rating of male and female farmers' opinions on the impact of food and nutrition knowledge on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eastAsia="Calibri" w:hAnsi="Times New Roman" w:cs="Times New Roman"/>
          <w:sz w:val="26"/>
          <w:szCs w:val="26"/>
        </w:rPr>
        <w:t>.</w:t>
      </w:r>
    </w:p>
    <w:p w:rsidR="002250C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H</w:t>
      </w:r>
      <w:r w:rsidR="00F63F0F" w:rsidRPr="00210BD3">
        <w:rPr>
          <w:rFonts w:ascii="Times New Roman" w:eastAsia="Calibri" w:hAnsi="Times New Roman" w:cs="Times New Roman"/>
          <w:sz w:val="26"/>
          <w:szCs w:val="26"/>
        </w:rPr>
        <w:t>0</w:t>
      </w:r>
      <w:r w:rsidRPr="00210BD3">
        <w:rPr>
          <w:rFonts w:ascii="Times New Roman" w:eastAsia="Calibri" w:hAnsi="Times New Roman" w:cs="Times New Roman"/>
          <w:b/>
          <w:sz w:val="26"/>
          <w:szCs w:val="26"/>
          <w:vertAlign w:val="subscript"/>
        </w:rPr>
        <w:t>2:</w:t>
      </w:r>
      <w:r w:rsidRPr="00210BD3">
        <w:rPr>
          <w:rFonts w:ascii="Times New Roman" w:eastAsia="Calibri" w:hAnsi="Times New Roman" w:cs="Times New Roman"/>
          <w:sz w:val="26"/>
          <w:szCs w:val="26"/>
        </w:rPr>
        <w:t xml:space="preserve"> There is no significant difference between the mean rating of male and female farmers' opinions on the challenges of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hAnsi="Times New Roman" w:cs="Times New Roman"/>
          <w:bCs/>
          <w:sz w:val="26"/>
          <w:szCs w:val="26"/>
        </w:rPr>
        <w:t>.</w:t>
      </w:r>
    </w:p>
    <w:p w:rsidR="004D3253" w:rsidRDefault="004D3253" w:rsidP="007137CC">
      <w:pPr>
        <w:spacing w:after="0" w:line="240" w:lineRule="auto"/>
        <w:rPr>
          <w:rFonts w:ascii="Times New Roman" w:hAnsi="Times New Roman" w:cs="Times New Roman"/>
          <w:b/>
          <w:bCs/>
          <w:sz w:val="26"/>
          <w:szCs w:val="26"/>
        </w:rPr>
      </w:pPr>
    </w:p>
    <w:p w:rsidR="002250C6" w:rsidRPr="00210BD3" w:rsidRDefault="00F63F0F" w:rsidP="007137CC">
      <w:pPr>
        <w:spacing w:after="0" w:line="240" w:lineRule="auto"/>
        <w:rPr>
          <w:rFonts w:ascii="Times New Roman" w:eastAsia="Times New Roman" w:hAnsi="Times New Roman" w:cs="Times New Roman"/>
          <w:b/>
          <w:bCs/>
          <w:sz w:val="26"/>
          <w:szCs w:val="26"/>
        </w:rPr>
      </w:pPr>
      <w:r w:rsidRPr="00210BD3">
        <w:rPr>
          <w:rFonts w:ascii="Times New Roman" w:hAnsi="Times New Roman" w:cs="Times New Roman"/>
          <w:b/>
          <w:bCs/>
          <w:sz w:val="26"/>
          <w:szCs w:val="26"/>
        </w:rPr>
        <w:t>Research methods</w:t>
      </w:r>
    </w:p>
    <w:p w:rsidR="00CC0BD0" w:rsidRPr="00210BD3" w:rsidRDefault="002250C6" w:rsidP="007137CC">
      <w:pPr>
        <w:spacing w:after="0" w:line="240" w:lineRule="auto"/>
        <w:ind w:firstLine="720"/>
        <w:jc w:val="both"/>
        <w:rPr>
          <w:rFonts w:ascii="Times New Roman" w:hAnsi="Times New Roman" w:cs="Times New Roman"/>
          <w:iCs/>
          <w:sz w:val="26"/>
          <w:szCs w:val="26"/>
        </w:rPr>
      </w:pPr>
      <w:r w:rsidRPr="00210BD3">
        <w:rPr>
          <w:rFonts w:ascii="Times New Roman" w:hAnsi="Times New Roman" w:cs="Times New Roman"/>
          <w:iCs/>
          <w:sz w:val="26"/>
          <w:szCs w:val="26"/>
        </w:rPr>
        <w:t>The study adopted a descriptive survey design. Descriptive survey design accurately and systematically describes, observes, or validates aspects of groups collected through quantifiable information, like the relationship among variables, in their natural state (Siedlecki, 2020). The population of the study com</w:t>
      </w:r>
      <w:r w:rsidR="00A4281A" w:rsidRPr="00210BD3">
        <w:rPr>
          <w:rFonts w:ascii="Times New Roman" w:hAnsi="Times New Roman" w:cs="Times New Roman"/>
          <w:iCs/>
          <w:sz w:val="26"/>
          <w:szCs w:val="26"/>
        </w:rPr>
        <w:t>prised 87</w:t>
      </w:r>
      <w:r w:rsidRPr="00210BD3">
        <w:rPr>
          <w:rFonts w:ascii="Times New Roman" w:hAnsi="Times New Roman" w:cs="Times New Roman"/>
          <w:iCs/>
          <w:sz w:val="26"/>
          <w:szCs w:val="26"/>
        </w:rPr>
        <w:t xml:space="preserve"> registered farmers in Oshimili South Local Government Area of Delta State. The communities that make up the LGA comprise Asaba, Okwe, OkoAmakom, OkoAnala, OkoOgbele and Oduke communities. And they are predominantly cassava, yam, potato and corn farmers. Due to the small population, no further sampling was </w:t>
      </w:r>
      <w:r w:rsidRPr="00210BD3">
        <w:rPr>
          <w:rFonts w:ascii="Times New Roman" w:hAnsi="Times New Roman" w:cs="Times New Roman"/>
          <w:iCs/>
          <w:sz w:val="26"/>
          <w:szCs w:val="26"/>
        </w:rPr>
        <w:lastRenderedPageBreak/>
        <w:t xml:space="preserve">carried out; all the farmers became the sample for the study. </w:t>
      </w:r>
    </w:p>
    <w:p w:rsidR="00917464" w:rsidRPr="00210BD3" w:rsidRDefault="00917464" w:rsidP="007137CC">
      <w:pPr>
        <w:autoSpaceDE w:val="0"/>
        <w:autoSpaceDN w:val="0"/>
        <w:adjustRightInd w:val="0"/>
        <w:spacing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Cs/>
          <w:sz w:val="26"/>
          <w:szCs w:val="26"/>
        </w:rPr>
        <w:t>The socio-demographics of the respondents consist of 66 male farmers representing 76% and 21 female farmers representing 24% of the total number. Out of the 87 farmers (respondents), 37 farmers were between age 20 and 40 years, 35 farmers were between 41 and 60 years, and 15 farmers were above 60 years.</w:t>
      </w:r>
    </w:p>
    <w:p w:rsidR="00CC0BD0" w:rsidRPr="00210BD3" w:rsidRDefault="002250C6" w:rsidP="007137CC">
      <w:pPr>
        <w:spacing w:after="0" w:line="240" w:lineRule="auto"/>
        <w:ind w:firstLine="720"/>
        <w:jc w:val="both"/>
        <w:rPr>
          <w:rFonts w:ascii="Times New Roman" w:hAnsi="Times New Roman" w:cs="Times New Roman"/>
          <w:iCs/>
          <w:sz w:val="26"/>
          <w:szCs w:val="26"/>
        </w:rPr>
      </w:pPr>
      <w:r w:rsidRPr="00210BD3">
        <w:rPr>
          <w:rFonts w:ascii="Times New Roman" w:hAnsi="Times New Roman" w:cs="Times New Roman"/>
          <w:iCs/>
          <w:sz w:val="26"/>
          <w:szCs w:val="26"/>
        </w:rPr>
        <w:t>The instrument for data collection was a questionnaire titled “</w:t>
      </w:r>
      <w:r w:rsidRPr="00210BD3">
        <w:rPr>
          <w:rFonts w:ascii="Times New Roman" w:eastAsia="Calibri" w:hAnsi="Times New Roman" w:cs="Times New Roman"/>
          <w:sz w:val="26"/>
          <w:szCs w:val="26"/>
        </w:rPr>
        <w:t xml:space="preserve">Perception of Farmers on the Impact of Food and Nutrition Knowledge on Sustainable Management of Family Resources </w:t>
      </w:r>
      <w:r w:rsidRPr="00210BD3">
        <w:rPr>
          <w:rFonts w:ascii="Times New Roman" w:eastAsia="Calibri" w:hAnsi="Times New Roman" w:cs="Times New Roman"/>
          <w:iCs/>
          <w:sz w:val="26"/>
          <w:szCs w:val="26"/>
        </w:rPr>
        <w:t>Questionnaire” (PFIFNKSMFRQ).</w:t>
      </w:r>
      <w:r w:rsidRPr="00210BD3">
        <w:rPr>
          <w:rFonts w:ascii="Times New Roman" w:hAnsi="Times New Roman" w:cs="Times New Roman"/>
          <w:iCs/>
          <w:sz w:val="26"/>
          <w:szCs w:val="26"/>
        </w:rPr>
        <w:t xml:space="preserve"> The instrument was divided into three parts; A, B and C. Part A elicited information on the personal data and characteristics of the universities. Part B elicited information on </w:t>
      </w:r>
      <w:r w:rsidRPr="00210BD3">
        <w:rPr>
          <w:rFonts w:ascii="Times New Roman" w:eastAsia="Calibri" w:hAnsi="Times New Roman" w:cs="Times New Roman"/>
          <w:sz w:val="26"/>
          <w:szCs w:val="26"/>
        </w:rPr>
        <w:t xml:space="preserve">the perceived impact of food and nutrition knowledge on the sustainable management of family resources while Part C assessed the perception of farmers on the challenges of sustainable management of family resources. </w:t>
      </w:r>
      <w:r w:rsidRPr="00210BD3">
        <w:rPr>
          <w:rFonts w:ascii="Times New Roman" w:hAnsi="Times New Roman" w:cs="Times New Roman"/>
          <w:iCs/>
          <w:sz w:val="26"/>
          <w:szCs w:val="26"/>
        </w:rPr>
        <w:t xml:space="preserve">The instrument was validated by two experts in Home Economics- and one lecturer in Measurement and Evaluation all in the Faculty of Education, Delta State University Abraka </w:t>
      </w:r>
      <w:r w:rsidRPr="00210BD3">
        <w:rPr>
          <w:rFonts w:ascii="Times New Roman" w:eastAsia="Calibri" w:hAnsi="Times New Roman" w:cs="Times New Roman"/>
          <w:sz w:val="26"/>
          <w:szCs w:val="26"/>
        </w:rPr>
        <w:t xml:space="preserve">to ascertain if the items covered and measure the objectives of the study. Their inputs and corrections were used to improve the final version of the questionnaire. </w:t>
      </w:r>
      <w:r w:rsidRPr="00210BD3">
        <w:rPr>
          <w:rFonts w:ascii="Times New Roman" w:hAnsi="Times New Roman" w:cs="Times New Roman"/>
          <w:iCs/>
          <w:sz w:val="26"/>
          <w:szCs w:val="26"/>
        </w:rPr>
        <w:t>The internal consistency of the instrument</w:t>
      </w:r>
      <w:r w:rsidRPr="00210BD3">
        <w:rPr>
          <w:rFonts w:ascii="Times New Roman" w:eastAsia="Calibri" w:hAnsi="Times New Roman" w:cs="Times New Roman"/>
          <w:sz w:val="26"/>
          <w:szCs w:val="26"/>
        </w:rPr>
        <w:t xml:space="preserve"> was determined by administeri</w:t>
      </w:r>
      <w:r w:rsidR="00CC0BD0" w:rsidRPr="00210BD3">
        <w:rPr>
          <w:rFonts w:ascii="Times New Roman" w:eastAsia="Calibri" w:hAnsi="Times New Roman" w:cs="Times New Roman"/>
          <w:sz w:val="26"/>
          <w:szCs w:val="26"/>
        </w:rPr>
        <w:t>ng the instrument to 20</w:t>
      </w:r>
      <w:r w:rsidRPr="00210BD3">
        <w:rPr>
          <w:rFonts w:ascii="Times New Roman" w:eastAsia="Calibri" w:hAnsi="Times New Roman" w:cs="Times New Roman"/>
          <w:sz w:val="26"/>
          <w:szCs w:val="26"/>
        </w:rPr>
        <w:t xml:space="preserve"> farmers from </w:t>
      </w:r>
      <w:r w:rsidRPr="00210BD3">
        <w:rPr>
          <w:rFonts w:ascii="Times New Roman" w:hAnsi="Times New Roman" w:cs="Times New Roman"/>
          <w:iCs/>
          <w:sz w:val="26"/>
          <w:szCs w:val="26"/>
        </w:rPr>
        <w:t xml:space="preserve">Oshimili North Local Government Area </w:t>
      </w:r>
      <w:r w:rsidRPr="00210BD3">
        <w:rPr>
          <w:rFonts w:ascii="Times New Roman" w:eastAsia="Calibri" w:hAnsi="Times New Roman" w:cs="Times New Roman"/>
          <w:sz w:val="26"/>
          <w:szCs w:val="26"/>
        </w:rPr>
        <w:t xml:space="preserve">Delta State, Nigeria. The data collected were analyzed using Cronbach Alpha Reliability Approach </w:t>
      </w:r>
      <w:r w:rsidRPr="00210BD3">
        <w:rPr>
          <w:rFonts w:ascii="Times New Roman" w:eastAsia="Calibri" w:hAnsi="Times New Roman" w:cs="Times New Roman"/>
          <w:sz w:val="26"/>
          <w:szCs w:val="26"/>
        </w:rPr>
        <w:lastRenderedPageBreak/>
        <w:t xml:space="preserve">with the aid of </w:t>
      </w:r>
      <w:r w:rsidR="00CC0BD0" w:rsidRPr="00210BD3">
        <w:rPr>
          <w:rFonts w:ascii="Times New Roman" w:eastAsia="Calibri" w:hAnsi="Times New Roman" w:cs="Times New Roman"/>
          <w:sz w:val="26"/>
          <w:szCs w:val="26"/>
        </w:rPr>
        <w:t xml:space="preserve">SPSS which yielded an index of </w:t>
      </w:r>
      <w:r w:rsidRPr="00210BD3">
        <w:rPr>
          <w:rFonts w:ascii="Times New Roman" w:eastAsia="Calibri" w:hAnsi="Times New Roman" w:cs="Times New Roman"/>
          <w:sz w:val="26"/>
          <w:szCs w:val="26"/>
        </w:rPr>
        <w:t>.69 which showed moderate internal consistency of the items.</w:t>
      </w:r>
    </w:p>
    <w:p w:rsidR="00313AED" w:rsidRPr="00210BD3" w:rsidRDefault="002250C6" w:rsidP="007137CC">
      <w:pPr>
        <w:spacing w:after="0" w:line="240" w:lineRule="auto"/>
        <w:ind w:firstLine="720"/>
        <w:jc w:val="both"/>
        <w:rPr>
          <w:rFonts w:ascii="Times New Roman" w:hAnsi="Times New Roman" w:cs="Times New Roman"/>
          <w:iCs/>
          <w:sz w:val="26"/>
          <w:szCs w:val="26"/>
        </w:rPr>
      </w:pPr>
      <w:r w:rsidRPr="00210BD3">
        <w:rPr>
          <w:rFonts w:ascii="Times New Roman" w:eastAsia="Calibri" w:hAnsi="Times New Roman" w:cs="Times New Roman"/>
          <w:sz w:val="26"/>
          <w:szCs w:val="26"/>
        </w:rPr>
        <w:t>The researcher administered 87 copies of the questionnaire to the respondents (registered farmers) using a hand-to-hand distribution method after getting their informed consent.  These were</w:t>
      </w:r>
      <w:r w:rsidR="00CC0BD0" w:rsidRPr="00210BD3">
        <w:rPr>
          <w:rFonts w:ascii="Times New Roman" w:eastAsia="Calibri" w:hAnsi="Times New Roman" w:cs="Times New Roman"/>
          <w:sz w:val="26"/>
          <w:szCs w:val="26"/>
        </w:rPr>
        <w:t xml:space="preserve"> distributed across the six </w:t>
      </w:r>
      <w:r w:rsidRPr="00210BD3">
        <w:rPr>
          <w:rFonts w:ascii="Times New Roman" w:eastAsia="Calibri" w:hAnsi="Times New Roman" w:cs="Times New Roman"/>
          <w:sz w:val="26"/>
          <w:szCs w:val="26"/>
        </w:rPr>
        <w:t>communities in Oshimili South LGA, Delta State. Two research assistants were recruited to assist the researcher in the administration and collection of the questionnaire. The researcher an</w:t>
      </w:r>
      <w:r w:rsidR="00D57D61" w:rsidRPr="00210BD3">
        <w:rPr>
          <w:rFonts w:ascii="Times New Roman" w:eastAsia="Calibri" w:hAnsi="Times New Roman" w:cs="Times New Roman"/>
          <w:sz w:val="26"/>
          <w:szCs w:val="26"/>
        </w:rPr>
        <w:t xml:space="preserve">d his assistants used three </w:t>
      </w:r>
      <w:r w:rsidRPr="00210BD3">
        <w:rPr>
          <w:rFonts w:ascii="Times New Roman" w:eastAsia="Calibri" w:hAnsi="Times New Roman" w:cs="Times New Roman"/>
          <w:sz w:val="26"/>
          <w:szCs w:val="26"/>
        </w:rPr>
        <w:t>days to administer and retrieve the questionnaire. The total copies of the questionnaire administered were returned, which represented a 100% rate of return.</w:t>
      </w:r>
    </w:p>
    <w:p w:rsidR="002250C6" w:rsidRPr="00210BD3" w:rsidRDefault="002250C6" w:rsidP="007137CC">
      <w:pPr>
        <w:spacing w:after="0" w:line="240" w:lineRule="auto"/>
        <w:ind w:firstLine="720"/>
        <w:jc w:val="both"/>
        <w:rPr>
          <w:rFonts w:ascii="Times New Roman" w:hAnsi="Times New Roman" w:cs="Times New Roman"/>
          <w:iCs/>
          <w:sz w:val="26"/>
          <w:szCs w:val="26"/>
        </w:rPr>
      </w:pPr>
      <w:r w:rsidRPr="00210BD3">
        <w:rPr>
          <w:rFonts w:ascii="Times New Roman" w:eastAsia="Calibri" w:hAnsi="Times New Roman" w:cs="Times New Roman"/>
          <w:bCs/>
          <w:sz w:val="26"/>
          <w:szCs w:val="26"/>
        </w:rPr>
        <w:t xml:space="preserve">Data were input into the software; Statistical Package for Social Science (SPSS, Version 20). The data were analyzed using mean and standard deviations. </w:t>
      </w:r>
      <w:r w:rsidRPr="00210BD3">
        <w:rPr>
          <w:rFonts w:ascii="Times New Roman" w:eastAsia="Calibri" w:hAnsi="Times New Roman" w:cs="Times New Roman"/>
          <w:sz w:val="26"/>
          <w:szCs w:val="26"/>
        </w:rPr>
        <w:t>The decision rule is that any mean score that is a</w:t>
      </w:r>
      <w:r w:rsidR="00285CD7" w:rsidRPr="00210BD3">
        <w:rPr>
          <w:rFonts w:ascii="Times New Roman" w:eastAsia="Calibri" w:hAnsi="Times New Roman" w:cs="Times New Roman"/>
          <w:sz w:val="26"/>
          <w:szCs w:val="26"/>
        </w:rPr>
        <w:t xml:space="preserve">bove the benchmark </w:t>
      </w:r>
      <w:r w:rsidR="00285CD7" w:rsidRPr="00210BD3">
        <w:rPr>
          <w:rFonts w:ascii="Times New Roman" w:eastAsia="Calibri" w:hAnsi="Times New Roman" w:cs="Times New Roman"/>
          <w:sz w:val="26"/>
          <w:szCs w:val="26"/>
        </w:rPr>
        <w:lastRenderedPageBreak/>
        <w:t>means of 2.5</w:t>
      </w:r>
      <w:r w:rsidRPr="00210BD3">
        <w:rPr>
          <w:rFonts w:ascii="Times New Roman" w:eastAsia="Calibri" w:hAnsi="Times New Roman" w:cs="Times New Roman"/>
          <w:sz w:val="26"/>
          <w:szCs w:val="26"/>
        </w:rPr>
        <w:t xml:space="preserve"> for the acceptance level is regarded as agreed, while any m</w:t>
      </w:r>
      <w:r w:rsidR="00285CD7" w:rsidRPr="00210BD3">
        <w:rPr>
          <w:rFonts w:ascii="Times New Roman" w:eastAsia="Calibri" w:hAnsi="Times New Roman" w:cs="Times New Roman"/>
          <w:sz w:val="26"/>
          <w:szCs w:val="26"/>
        </w:rPr>
        <w:t>ean score that is less than 2.5</w:t>
      </w:r>
      <w:r w:rsidRPr="00210BD3">
        <w:rPr>
          <w:rFonts w:ascii="Times New Roman" w:eastAsia="Calibri" w:hAnsi="Times New Roman" w:cs="Times New Roman"/>
          <w:sz w:val="26"/>
          <w:szCs w:val="26"/>
        </w:rPr>
        <w:t xml:space="preserve"> for the acceptance level is regarded as disagree. T</w:t>
      </w:r>
      <w:r w:rsidRPr="00210BD3">
        <w:rPr>
          <w:rFonts w:ascii="Times New Roman" w:eastAsia="Calibri" w:hAnsi="Times New Roman" w:cs="Times New Roman"/>
          <w:bCs/>
          <w:sz w:val="26"/>
          <w:szCs w:val="26"/>
        </w:rPr>
        <w:t xml:space="preserve">-test analysis was used to test the </w:t>
      </w:r>
      <w:r w:rsidRPr="00210BD3">
        <w:rPr>
          <w:rFonts w:ascii="Times New Roman" w:eastAsia="Calibri" w:hAnsi="Times New Roman" w:cs="Times New Roman"/>
          <w:sz w:val="26"/>
          <w:szCs w:val="26"/>
        </w:rPr>
        <w:t xml:space="preserve">significant difference between the mean rating of male and female farmers' opinions on the impact of food and nutrition knowledge on sustainable management of family resources in </w:t>
      </w:r>
      <w:r w:rsidRPr="00210BD3">
        <w:rPr>
          <w:rFonts w:ascii="Times New Roman" w:hAnsi="Times New Roman" w:cs="Times New Roman"/>
          <w:iCs/>
          <w:sz w:val="26"/>
          <w:szCs w:val="26"/>
        </w:rPr>
        <w:t>Oshimili South Local Government Area</w:t>
      </w:r>
      <w:r w:rsidR="00B864CE" w:rsidRPr="00210BD3">
        <w:rPr>
          <w:rFonts w:ascii="Times New Roman" w:eastAsia="Calibri" w:hAnsi="Times New Roman" w:cs="Times New Roman"/>
          <w:sz w:val="26"/>
          <w:szCs w:val="26"/>
        </w:rPr>
        <w:t xml:space="preserve"> at </w:t>
      </w:r>
      <w:r w:rsidRPr="00210BD3">
        <w:rPr>
          <w:rFonts w:ascii="Times New Roman" w:eastAsia="Calibri" w:hAnsi="Times New Roman" w:cs="Times New Roman"/>
          <w:sz w:val="26"/>
          <w:szCs w:val="26"/>
        </w:rPr>
        <w:t>.05 level</w:t>
      </w:r>
      <w:r w:rsidR="00B864CE" w:rsidRPr="00210BD3">
        <w:rPr>
          <w:rFonts w:ascii="Times New Roman" w:eastAsia="Calibri" w:hAnsi="Times New Roman" w:cs="Times New Roman"/>
          <w:sz w:val="26"/>
          <w:szCs w:val="26"/>
        </w:rPr>
        <w:t>s</w:t>
      </w:r>
      <w:r w:rsidRPr="00210BD3">
        <w:rPr>
          <w:rFonts w:ascii="Times New Roman" w:eastAsia="Calibri" w:hAnsi="Times New Roman" w:cs="Times New Roman"/>
          <w:sz w:val="26"/>
          <w:szCs w:val="26"/>
        </w:rPr>
        <w:t xml:space="preserve"> of significance. </w:t>
      </w:r>
    </w:p>
    <w:p w:rsidR="005B6D03" w:rsidRPr="00210BD3" w:rsidRDefault="005B6D03" w:rsidP="007137CC">
      <w:pPr>
        <w:autoSpaceDE w:val="0"/>
        <w:autoSpaceDN w:val="0"/>
        <w:adjustRightInd w:val="0"/>
        <w:spacing w:after="0" w:line="240" w:lineRule="auto"/>
        <w:jc w:val="both"/>
        <w:rPr>
          <w:rFonts w:ascii="Times New Roman" w:eastAsia="Calibri" w:hAnsi="Times New Roman" w:cs="Times New Roman"/>
          <w:b/>
          <w:bCs/>
          <w:sz w:val="26"/>
          <w:szCs w:val="26"/>
        </w:rPr>
      </w:pPr>
    </w:p>
    <w:p w:rsidR="002250C6" w:rsidRPr="00210BD3" w:rsidRDefault="002250C6" w:rsidP="007137CC">
      <w:pPr>
        <w:autoSpaceDE w:val="0"/>
        <w:autoSpaceDN w:val="0"/>
        <w:adjustRightInd w:val="0"/>
        <w:spacing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t xml:space="preserve">Results </w:t>
      </w:r>
    </w:p>
    <w:p w:rsidR="00ED7299" w:rsidRPr="00210BD3" w:rsidRDefault="00BF7383"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Research question one</w:t>
      </w:r>
    </w:p>
    <w:p w:rsidR="00BF7383" w:rsidRPr="00210BD3" w:rsidRDefault="00BF7383"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What is the difference between the mean rating of male and female farmers' opinions on the impact of food and nutrition knowledge on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eastAsia="Calibri" w:hAnsi="Times New Roman" w:cs="Times New Roman"/>
          <w:sz w:val="26"/>
          <w:szCs w:val="26"/>
        </w:rPr>
        <w:t>?</w:t>
      </w:r>
    </w:p>
    <w:p w:rsidR="00313FDA" w:rsidRPr="00210BD3" w:rsidRDefault="00313FDA" w:rsidP="007137CC">
      <w:pPr>
        <w:spacing w:after="0" w:line="240" w:lineRule="auto"/>
        <w:jc w:val="both"/>
        <w:rPr>
          <w:rFonts w:ascii="Times New Roman" w:eastAsia="Calibri" w:hAnsi="Times New Roman" w:cs="Times New Roman"/>
          <w:sz w:val="26"/>
          <w:szCs w:val="26"/>
        </w:rPr>
      </w:pPr>
    </w:p>
    <w:p w:rsidR="00460A60" w:rsidRPr="00210BD3" w:rsidRDefault="00460A6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Summary answers to research question one is presented in Table 1.</w:t>
      </w:r>
    </w:p>
    <w:p w:rsidR="004D3253" w:rsidRDefault="004D3253" w:rsidP="007137CC">
      <w:pPr>
        <w:autoSpaceDE w:val="0"/>
        <w:autoSpaceDN w:val="0"/>
        <w:adjustRightInd w:val="0"/>
        <w:spacing w:after="0" w:line="240" w:lineRule="auto"/>
        <w:jc w:val="center"/>
        <w:rPr>
          <w:rFonts w:ascii="Times New Roman" w:eastAsia="Calibri" w:hAnsi="Times New Roman" w:cs="Times New Roman"/>
          <w:bCs/>
          <w:sz w:val="26"/>
          <w:szCs w:val="26"/>
        </w:rPr>
        <w:sectPr w:rsidR="004D3253" w:rsidSect="004D3253">
          <w:type w:val="continuous"/>
          <w:pgSz w:w="12240" w:h="15840" w:code="1"/>
          <w:pgMar w:top="1440" w:right="1440" w:bottom="1440" w:left="1440" w:header="706" w:footer="706" w:gutter="0"/>
          <w:cols w:num="2" w:space="540"/>
          <w:docGrid w:linePitch="360"/>
        </w:sectPr>
      </w:pPr>
    </w:p>
    <w:p w:rsidR="00960639" w:rsidRDefault="00960639" w:rsidP="007137CC">
      <w:pPr>
        <w:autoSpaceDE w:val="0"/>
        <w:autoSpaceDN w:val="0"/>
        <w:adjustRightInd w:val="0"/>
        <w:spacing w:after="0" w:line="240" w:lineRule="auto"/>
        <w:jc w:val="center"/>
        <w:rPr>
          <w:rFonts w:ascii="Times New Roman" w:eastAsia="Calibri" w:hAnsi="Times New Roman" w:cs="Times New Roman"/>
          <w:bCs/>
          <w:sz w:val="26"/>
          <w:szCs w:val="26"/>
        </w:rPr>
      </w:pPr>
    </w:p>
    <w:p w:rsidR="00460A60" w:rsidRPr="00210BD3" w:rsidRDefault="00460A60" w:rsidP="007137CC">
      <w:pPr>
        <w:autoSpaceDE w:val="0"/>
        <w:autoSpaceDN w:val="0"/>
        <w:adjustRightInd w:val="0"/>
        <w:spacing w:after="0" w:line="240" w:lineRule="auto"/>
        <w:rPr>
          <w:rFonts w:ascii="Times New Roman" w:eastAsia="Calibri" w:hAnsi="Times New Roman" w:cs="Times New Roman"/>
          <w:sz w:val="26"/>
          <w:szCs w:val="26"/>
        </w:rPr>
      </w:pPr>
      <w:r w:rsidRPr="00210BD3">
        <w:rPr>
          <w:rFonts w:ascii="Times New Roman" w:eastAsia="Calibri" w:hAnsi="Times New Roman" w:cs="Times New Roman"/>
          <w:bCs/>
          <w:sz w:val="26"/>
          <w:szCs w:val="26"/>
        </w:rPr>
        <w:t>Table 1: Mean and Standard Deviation Scor</w:t>
      </w:r>
      <w:r w:rsidR="004D3253">
        <w:rPr>
          <w:rFonts w:ascii="Times New Roman" w:eastAsia="Calibri" w:hAnsi="Times New Roman" w:cs="Times New Roman"/>
          <w:bCs/>
          <w:sz w:val="26"/>
          <w:szCs w:val="26"/>
        </w:rPr>
        <w:t>e of Response of Farmers on the</w:t>
      </w:r>
      <w:r w:rsidRPr="00210BD3">
        <w:rPr>
          <w:rFonts w:ascii="Times New Roman" w:eastAsia="Calibri" w:hAnsi="Times New Roman" w:cs="Times New Roman"/>
          <w:sz w:val="26"/>
          <w:szCs w:val="26"/>
        </w:rPr>
        <w:t>Impact of food and Nutrition on Sustainable Management of Family Resources (N=87)</w:t>
      </w:r>
    </w:p>
    <w:p w:rsidR="00774E4D" w:rsidRDefault="00774E4D" w:rsidP="007137CC">
      <w:pPr>
        <w:spacing w:before="100" w:beforeAutospacing="1" w:after="0" w:line="240" w:lineRule="auto"/>
        <w:rPr>
          <w:rFonts w:ascii="Times New Roman" w:eastAsia="Calibri" w:hAnsi="Times New Roman" w:cs="Times New Roman"/>
          <w:bCs/>
          <w:sz w:val="26"/>
          <w:szCs w:val="26"/>
        </w:rPr>
        <w:sectPr w:rsidR="00774E4D" w:rsidSect="004D3253">
          <w:type w:val="continuous"/>
          <w:pgSz w:w="12240" w:h="15840" w:code="1"/>
          <w:pgMar w:top="1440" w:right="1440" w:bottom="1440" w:left="1440" w:header="706" w:footer="706" w:gutter="0"/>
          <w:cols w:space="360"/>
          <w:docGrid w:linePitch="360"/>
        </w:sect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
        <w:gridCol w:w="4573"/>
        <w:gridCol w:w="1234"/>
        <w:gridCol w:w="2445"/>
        <w:gridCol w:w="1567"/>
      </w:tblGrid>
      <w:tr w:rsidR="00460A60" w:rsidRPr="00210BD3" w:rsidTr="00960639">
        <w:trPr>
          <w:trHeight w:val="516"/>
          <w:jc w:val="center"/>
        </w:trPr>
        <w:tc>
          <w:tcPr>
            <w:tcW w:w="261" w:type="dxa"/>
            <w:tcBorders>
              <w:top w:val="single" w:sz="4" w:space="0" w:color="000000"/>
              <w:left w:val="nil"/>
              <w:bottom w:val="single" w:sz="4" w:space="0" w:color="000000"/>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bCs/>
                <w:sz w:val="26"/>
                <w:szCs w:val="26"/>
              </w:rPr>
            </w:pPr>
          </w:p>
        </w:tc>
        <w:tc>
          <w:tcPr>
            <w:tcW w:w="4573" w:type="dxa"/>
            <w:tcBorders>
              <w:top w:val="single" w:sz="4" w:space="0" w:color="000000"/>
              <w:left w:val="nil"/>
              <w:bottom w:val="single" w:sz="4" w:space="0" w:color="000000"/>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Items Description</w:t>
            </w:r>
          </w:p>
        </w:tc>
        <w:tc>
          <w:tcPr>
            <w:tcW w:w="1234" w:type="dxa"/>
            <w:tcBorders>
              <w:top w:val="single" w:sz="4" w:space="0" w:color="000000"/>
              <w:left w:val="nil"/>
              <w:bottom w:val="single" w:sz="4" w:space="0" w:color="000000"/>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Mean </w:t>
            </w:r>
          </w:p>
        </w:tc>
        <w:tc>
          <w:tcPr>
            <w:tcW w:w="2445" w:type="dxa"/>
            <w:tcBorders>
              <w:top w:val="single" w:sz="4" w:space="0" w:color="000000"/>
              <w:left w:val="nil"/>
              <w:bottom w:val="single" w:sz="4" w:space="0" w:color="000000"/>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Standard Deviation</w:t>
            </w:r>
          </w:p>
        </w:tc>
        <w:tc>
          <w:tcPr>
            <w:tcW w:w="1567" w:type="dxa"/>
            <w:tcBorders>
              <w:top w:val="single" w:sz="4" w:space="0" w:color="000000"/>
              <w:left w:val="nil"/>
              <w:bottom w:val="single" w:sz="4" w:space="0" w:color="000000"/>
              <w:right w:val="nil"/>
            </w:tcBorders>
            <w:hideMark/>
          </w:tcPr>
          <w:p w:rsidR="00460A60" w:rsidRPr="00210BD3" w:rsidRDefault="00460A60" w:rsidP="007137CC">
            <w:pPr>
              <w:spacing w:before="100" w:beforeAutospacing="1" w:after="0" w:line="240" w:lineRule="auto"/>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Decision</w:t>
            </w:r>
          </w:p>
        </w:tc>
      </w:tr>
      <w:tr w:rsidR="00460A60" w:rsidRPr="00210BD3" w:rsidTr="00960639">
        <w:trPr>
          <w:jc w:val="center"/>
        </w:trPr>
        <w:tc>
          <w:tcPr>
            <w:tcW w:w="261" w:type="dxa"/>
            <w:tcBorders>
              <w:top w:val="single" w:sz="4" w:space="0" w:color="000000"/>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single" w:sz="4" w:space="0" w:color="000000"/>
              <w:left w:val="nil"/>
              <w:bottom w:val="nil"/>
              <w:right w:val="nil"/>
            </w:tcBorders>
            <w:hideMark/>
          </w:tcPr>
          <w:p w:rsidR="00460A60" w:rsidRPr="00210BD3" w:rsidRDefault="00460A60" w:rsidP="007137CC">
            <w:pPr>
              <w:spacing w:before="100" w:beforeAutospacing="1" w:after="0" w:line="240" w:lineRule="auto"/>
              <w:jc w:val="both"/>
              <w:rPr>
                <w:rFonts w:ascii="Times New Roman" w:hAnsi="Times New Roman" w:cs="Times New Roman"/>
                <w:sz w:val="26"/>
                <w:szCs w:val="26"/>
              </w:rPr>
            </w:pPr>
            <w:r w:rsidRPr="00210BD3">
              <w:rPr>
                <w:rFonts w:ascii="Times New Roman" w:eastAsia="Calibri" w:hAnsi="Times New Roman" w:cs="Times New Roman"/>
                <w:sz w:val="26"/>
                <w:szCs w:val="26"/>
              </w:rPr>
              <w:t>Food and nutrition knowledge improves family dietary  quality</w:t>
            </w:r>
          </w:p>
        </w:tc>
        <w:tc>
          <w:tcPr>
            <w:tcW w:w="1234" w:type="dxa"/>
            <w:tcBorders>
              <w:top w:val="single" w:sz="4" w:space="0" w:color="000000"/>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3.16</w:t>
            </w:r>
          </w:p>
        </w:tc>
        <w:tc>
          <w:tcPr>
            <w:tcW w:w="2445" w:type="dxa"/>
            <w:tcBorders>
              <w:top w:val="single" w:sz="4" w:space="0" w:color="000000"/>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0.83</w:t>
            </w:r>
          </w:p>
        </w:tc>
        <w:tc>
          <w:tcPr>
            <w:tcW w:w="1567" w:type="dxa"/>
            <w:tcBorders>
              <w:top w:val="single" w:sz="4" w:space="0" w:color="000000"/>
              <w:left w:val="nil"/>
              <w:bottom w:val="nil"/>
              <w:right w:val="nil"/>
            </w:tcBorders>
            <w:hideMark/>
          </w:tcPr>
          <w:p w:rsidR="00460A60" w:rsidRPr="00210BD3" w:rsidRDefault="00460A60"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460A60" w:rsidRPr="00210BD3" w:rsidTr="00960639">
        <w:trPr>
          <w:trHeight w:val="360"/>
          <w:jc w:val="center"/>
        </w:trPr>
        <w:tc>
          <w:tcPr>
            <w:tcW w:w="261"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It reduces the spread of  non-communicable diseases in the family</w:t>
            </w:r>
          </w:p>
        </w:tc>
        <w:tc>
          <w:tcPr>
            <w:tcW w:w="1234"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3.14</w:t>
            </w:r>
          </w:p>
        </w:tc>
        <w:tc>
          <w:tcPr>
            <w:tcW w:w="2445"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0.80</w:t>
            </w:r>
          </w:p>
        </w:tc>
        <w:tc>
          <w:tcPr>
            <w:tcW w:w="1567" w:type="dxa"/>
            <w:tcBorders>
              <w:top w:val="nil"/>
              <w:left w:val="nil"/>
              <w:bottom w:val="nil"/>
              <w:right w:val="nil"/>
            </w:tcBorders>
          </w:tcPr>
          <w:p w:rsidR="00460A60" w:rsidRPr="00210BD3" w:rsidRDefault="00460A60" w:rsidP="007137CC">
            <w:pPr>
              <w:spacing w:before="100" w:beforeAutospacing="1"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460A60" w:rsidRPr="00210BD3" w:rsidTr="00960639">
        <w:trPr>
          <w:jc w:val="center"/>
        </w:trPr>
        <w:tc>
          <w:tcPr>
            <w:tcW w:w="261"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nil"/>
              <w:left w:val="nil"/>
              <w:bottom w:val="nil"/>
              <w:right w:val="nil"/>
            </w:tcBorders>
            <w:hideMark/>
          </w:tcPr>
          <w:p w:rsidR="00460A60" w:rsidRPr="00210BD3" w:rsidRDefault="00460A60" w:rsidP="007137CC">
            <w:pPr>
              <w:spacing w:before="100" w:beforeAutospacing="1"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It improves the family healthcare</w:t>
            </w:r>
          </w:p>
        </w:tc>
        <w:tc>
          <w:tcPr>
            <w:tcW w:w="1234"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3.08</w:t>
            </w:r>
          </w:p>
        </w:tc>
        <w:tc>
          <w:tcPr>
            <w:tcW w:w="2445"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0.77</w:t>
            </w:r>
          </w:p>
        </w:tc>
        <w:tc>
          <w:tcPr>
            <w:tcW w:w="1567" w:type="dxa"/>
            <w:tcBorders>
              <w:top w:val="nil"/>
              <w:left w:val="nil"/>
              <w:bottom w:val="nil"/>
              <w:right w:val="nil"/>
            </w:tcBorders>
            <w:hideMark/>
          </w:tcPr>
          <w:p w:rsidR="00460A60" w:rsidRPr="00210BD3" w:rsidRDefault="00460A60"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460A60" w:rsidRPr="00210BD3" w:rsidTr="00960639">
        <w:trPr>
          <w:jc w:val="center"/>
        </w:trPr>
        <w:tc>
          <w:tcPr>
            <w:tcW w:w="261"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hAnsi="Times New Roman" w:cs="Times New Roman"/>
                <w:sz w:val="26"/>
                <w:szCs w:val="26"/>
              </w:rPr>
              <w:t>It facilitates the sourcing of alternative diets for the family</w:t>
            </w:r>
          </w:p>
        </w:tc>
        <w:tc>
          <w:tcPr>
            <w:tcW w:w="1234"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3.00</w:t>
            </w:r>
          </w:p>
        </w:tc>
        <w:tc>
          <w:tcPr>
            <w:tcW w:w="2445"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0.82</w:t>
            </w:r>
          </w:p>
        </w:tc>
        <w:tc>
          <w:tcPr>
            <w:tcW w:w="1567" w:type="dxa"/>
            <w:tcBorders>
              <w:top w:val="nil"/>
              <w:left w:val="nil"/>
              <w:bottom w:val="nil"/>
              <w:right w:val="nil"/>
            </w:tcBorders>
          </w:tcPr>
          <w:p w:rsidR="00460A60" w:rsidRPr="00210BD3" w:rsidRDefault="00460A60" w:rsidP="007137CC">
            <w:pPr>
              <w:spacing w:before="100" w:beforeAutospacing="1"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460A60" w:rsidRPr="00210BD3" w:rsidTr="00960639">
        <w:trPr>
          <w:trHeight w:val="252"/>
          <w:jc w:val="center"/>
        </w:trPr>
        <w:tc>
          <w:tcPr>
            <w:tcW w:w="261" w:type="dxa"/>
            <w:tcBorders>
              <w:top w:val="nil"/>
              <w:left w:val="nil"/>
              <w:bottom w:val="nil"/>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It reduces the cost of sourcing the family food</w:t>
            </w:r>
          </w:p>
        </w:tc>
        <w:tc>
          <w:tcPr>
            <w:tcW w:w="1234"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3.06</w:t>
            </w:r>
          </w:p>
        </w:tc>
        <w:tc>
          <w:tcPr>
            <w:tcW w:w="2445" w:type="dxa"/>
            <w:tcBorders>
              <w:top w:val="nil"/>
              <w:left w:val="nil"/>
              <w:bottom w:val="nil"/>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0.86</w:t>
            </w:r>
          </w:p>
        </w:tc>
        <w:tc>
          <w:tcPr>
            <w:tcW w:w="1567" w:type="dxa"/>
            <w:tcBorders>
              <w:top w:val="nil"/>
              <w:left w:val="nil"/>
              <w:bottom w:val="nil"/>
              <w:right w:val="nil"/>
            </w:tcBorders>
            <w:hideMark/>
          </w:tcPr>
          <w:p w:rsidR="00460A60" w:rsidRPr="00210BD3" w:rsidRDefault="00460A60"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460A60" w:rsidRPr="00210BD3" w:rsidTr="00960639">
        <w:trPr>
          <w:trHeight w:val="252"/>
          <w:jc w:val="center"/>
        </w:trPr>
        <w:tc>
          <w:tcPr>
            <w:tcW w:w="261" w:type="dxa"/>
            <w:tcBorders>
              <w:top w:val="nil"/>
              <w:left w:val="nil"/>
              <w:bottom w:val="single" w:sz="4" w:space="0" w:color="auto"/>
              <w:right w:val="nil"/>
            </w:tcBorders>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p>
        </w:tc>
        <w:tc>
          <w:tcPr>
            <w:tcW w:w="4573" w:type="dxa"/>
            <w:tcBorders>
              <w:top w:val="nil"/>
              <w:left w:val="nil"/>
              <w:bottom w:val="single" w:sz="4" w:space="0" w:color="auto"/>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Grand Mean/SD</w:t>
            </w:r>
          </w:p>
        </w:tc>
        <w:tc>
          <w:tcPr>
            <w:tcW w:w="1234" w:type="dxa"/>
            <w:tcBorders>
              <w:top w:val="nil"/>
              <w:left w:val="nil"/>
              <w:bottom w:val="single" w:sz="4" w:space="0" w:color="auto"/>
              <w:right w:val="nil"/>
            </w:tcBorders>
            <w:hideMark/>
          </w:tcPr>
          <w:p w:rsidR="00460A60" w:rsidRPr="00210BD3" w:rsidRDefault="00460A60"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3.09</w:t>
            </w:r>
          </w:p>
        </w:tc>
        <w:tc>
          <w:tcPr>
            <w:tcW w:w="2445" w:type="dxa"/>
            <w:tcBorders>
              <w:top w:val="nil"/>
              <w:left w:val="nil"/>
              <w:bottom w:val="single" w:sz="4" w:space="0" w:color="auto"/>
              <w:right w:val="nil"/>
            </w:tcBorders>
            <w:hideMark/>
          </w:tcPr>
          <w:p w:rsidR="00460A60" w:rsidRPr="00210BD3" w:rsidRDefault="00460A60" w:rsidP="007137CC">
            <w:pPr>
              <w:spacing w:before="100" w:beforeAutospacing="1"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0.82</w:t>
            </w:r>
          </w:p>
        </w:tc>
        <w:tc>
          <w:tcPr>
            <w:tcW w:w="1567" w:type="dxa"/>
            <w:tcBorders>
              <w:top w:val="nil"/>
              <w:left w:val="nil"/>
              <w:bottom w:val="single" w:sz="4" w:space="0" w:color="auto"/>
              <w:right w:val="nil"/>
            </w:tcBorders>
            <w:hideMark/>
          </w:tcPr>
          <w:p w:rsidR="00460A60" w:rsidRPr="00210BD3" w:rsidRDefault="00460A60"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bl>
    <w:p w:rsidR="00ED7299" w:rsidRPr="00210BD3" w:rsidRDefault="00ED7299" w:rsidP="007137CC">
      <w:pPr>
        <w:spacing w:after="0" w:line="240" w:lineRule="auto"/>
        <w:jc w:val="both"/>
        <w:rPr>
          <w:rFonts w:ascii="Times New Roman" w:eastAsia="Calibri" w:hAnsi="Times New Roman" w:cs="Times New Roman"/>
          <w:sz w:val="26"/>
          <w:szCs w:val="26"/>
        </w:rPr>
      </w:pPr>
    </w:p>
    <w:p w:rsidR="004D3253" w:rsidRDefault="004D3253" w:rsidP="007137CC">
      <w:pPr>
        <w:spacing w:after="0" w:line="240" w:lineRule="auto"/>
        <w:ind w:firstLine="720"/>
        <w:jc w:val="both"/>
        <w:rPr>
          <w:rFonts w:ascii="Times New Roman" w:eastAsia="Calibri" w:hAnsi="Times New Roman" w:cs="Times New Roman"/>
          <w:sz w:val="26"/>
          <w:szCs w:val="26"/>
        </w:rPr>
        <w:sectPr w:rsidR="004D3253" w:rsidSect="00210BD3">
          <w:type w:val="continuous"/>
          <w:pgSz w:w="12240" w:h="15840" w:code="1"/>
          <w:pgMar w:top="1440" w:right="1440" w:bottom="1440" w:left="1440" w:header="706" w:footer="706" w:gutter="0"/>
          <w:cols w:space="708"/>
          <w:docGrid w:linePitch="360"/>
        </w:sectPr>
      </w:pPr>
    </w:p>
    <w:p w:rsidR="00745C47" w:rsidRPr="00210BD3" w:rsidRDefault="002250C6" w:rsidP="00750353">
      <w:pPr>
        <w:spacing w:after="0" w:line="240" w:lineRule="auto"/>
        <w:ind w:left="90" w:firstLine="786"/>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lastRenderedPageBreak/>
        <w:t>The re</w:t>
      </w:r>
      <w:r w:rsidR="00830488" w:rsidRPr="00210BD3">
        <w:rPr>
          <w:rFonts w:ascii="Times New Roman" w:eastAsia="Calibri" w:hAnsi="Times New Roman" w:cs="Times New Roman"/>
          <w:sz w:val="26"/>
          <w:szCs w:val="26"/>
        </w:rPr>
        <w:t>sult of data in Table 1 reveal</w:t>
      </w:r>
      <w:r w:rsidRPr="00210BD3">
        <w:rPr>
          <w:rFonts w:ascii="Times New Roman" w:eastAsia="Calibri" w:hAnsi="Times New Roman" w:cs="Times New Roman"/>
          <w:sz w:val="26"/>
          <w:szCs w:val="26"/>
        </w:rPr>
        <w:t xml:space="preserve"> that the respondents strongly </w:t>
      </w:r>
      <w:r w:rsidRPr="00210BD3">
        <w:rPr>
          <w:rFonts w:ascii="Times New Roman" w:eastAsia="Calibri" w:hAnsi="Times New Roman" w:cs="Times New Roman"/>
          <w:sz w:val="26"/>
          <w:szCs w:val="26"/>
        </w:rPr>
        <w:lastRenderedPageBreak/>
        <w:t xml:space="preserve">agreed that food and nutrition improve family dietary quality as was reflected in </w:t>
      </w:r>
      <w:r w:rsidRPr="00210BD3">
        <w:rPr>
          <w:rFonts w:ascii="Times New Roman" w:eastAsia="Calibri" w:hAnsi="Times New Roman" w:cs="Times New Roman"/>
          <w:sz w:val="26"/>
          <w:szCs w:val="26"/>
        </w:rPr>
        <w:lastRenderedPageBreak/>
        <w:t xml:space="preserve">the mean score of </w:t>
      </w:r>
      <w:r w:rsidR="005A1632" w:rsidRPr="00210BD3">
        <w:rPr>
          <w:rFonts w:ascii="Times New Roman" w:eastAsia="Calibri" w:hAnsi="Times New Roman" w:cs="Times New Roman"/>
          <w:sz w:val="26"/>
          <w:szCs w:val="26"/>
        </w:rPr>
        <w:t xml:space="preserve">3.16 and standard deviation of </w:t>
      </w:r>
      <w:r w:rsidRPr="00210BD3">
        <w:rPr>
          <w:rFonts w:ascii="Times New Roman" w:eastAsia="Calibri" w:hAnsi="Times New Roman" w:cs="Times New Roman"/>
          <w:sz w:val="26"/>
          <w:szCs w:val="26"/>
        </w:rPr>
        <w:t xml:space="preserve">.83 respectively. Respondents also strongly agreed that food and nutrition reduce the spread of non-communicable diseases in the family as can be seen in the mean score of </w:t>
      </w:r>
      <w:r w:rsidR="004B2AB1" w:rsidRPr="00210BD3">
        <w:rPr>
          <w:rFonts w:ascii="Times New Roman" w:eastAsia="Calibri" w:hAnsi="Times New Roman" w:cs="Times New Roman"/>
          <w:sz w:val="26"/>
          <w:szCs w:val="26"/>
        </w:rPr>
        <w:t xml:space="preserve">3.14 and standard deviation of </w:t>
      </w:r>
      <w:r w:rsidRPr="00210BD3">
        <w:rPr>
          <w:rFonts w:ascii="Times New Roman" w:eastAsia="Calibri" w:hAnsi="Times New Roman" w:cs="Times New Roman"/>
          <w:sz w:val="26"/>
          <w:szCs w:val="26"/>
        </w:rPr>
        <w:t xml:space="preserve">.80. Moreover, respondents also strongly agreed that food and nutrition knowledge improved family healthcare as can be seen in the mean score of </w:t>
      </w:r>
      <w:r w:rsidR="00A97113" w:rsidRPr="00210BD3">
        <w:rPr>
          <w:rFonts w:ascii="Times New Roman" w:eastAsia="Calibri" w:hAnsi="Times New Roman" w:cs="Times New Roman"/>
          <w:sz w:val="26"/>
          <w:szCs w:val="26"/>
        </w:rPr>
        <w:t>3.08 and</w:t>
      </w:r>
      <w:r w:rsidR="004B2AB1" w:rsidRPr="00210BD3">
        <w:rPr>
          <w:rFonts w:ascii="Times New Roman" w:eastAsia="Calibri" w:hAnsi="Times New Roman" w:cs="Times New Roman"/>
          <w:sz w:val="26"/>
          <w:szCs w:val="26"/>
        </w:rPr>
        <w:t xml:space="preserve"> standard deviation of </w:t>
      </w:r>
      <w:r w:rsidRPr="00210BD3">
        <w:rPr>
          <w:rFonts w:ascii="Times New Roman" w:eastAsia="Calibri" w:hAnsi="Times New Roman" w:cs="Times New Roman"/>
          <w:sz w:val="26"/>
          <w:szCs w:val="26"/>
        </w:rPr>
        <w:t>.77. Respondents strongly agreed that food and nutrition</w:t>
      </w:r>
      <w:r w:rsidRPr="00210BD3">
        <w:rPr>
          <w:rFonts w:ascii="Times New Roman" w:hAnsi="Times New Roman" w:cs="Times New Roman"/>
          <w:sz w:val="26"/>
          <w:szCs w:val="26"/>
        </w:rPr>
        <w:t xml:space="preserve"> facilitate sourcing of alternative diets for the family </w:t>
      </w:r>
      <w:r w:rsidRPr="00210BD3">
        <w:rPr>
          <w:rFonts w:ascii="Times New Roman" w:eastAsia="Calibri" w:hAnsi="Times New Roman" w:cs="Times New Roman"/>
          <w:sz w:val="26"/>
          <w:szCs w:val="26"/>
        </w:rPr>
        <w:t xml:space="preserve">as can be seen in the mean score of </w:t>
      </w:r>
      <w:r w:rsidR="00A97113" w:rsidRPr="00210BD3">
        <w:rPr>
          <w:rFonts w:ascii="Times New Roman" w:eastAsia="Calibri" w:hAnsi="Times New Roman" w:cs="Times New Roman"/>
          <w:sz w:val="26"/>
          <w:szCs w:val="26"/>
        </w:rPr>
        <w:t>3.00 and</w:t>
      </w:r>
      <w:r w:rsidRPr="00210BD3">
        <w:rPr>
          <w:rFonts w:ascii="Times New Roman" w:eastAsia="Calibri" w:hAnsi="Times New Roman" w:cs="Times New Roman"/>
          <w:sz w:val="26"/>
          <w:szCs w:val="26"/>
        </w:rPr>
        <w:t xml:space="preserve"> st</w:t>
      </w:r>
      <w:r w:rsidR="00CB38B4" w:rsidRPr="00210BD3">
        <w:rPr>
          <w:rFonts w:ascii="Times New Roman" w:eastAsia="Calibri" w:hAnsi="Times New Roman" w:cs="Times New Roman"/>
          <w:sz w:val="26"/>
          <w:szCs w:val="26"/>
        </w:rPr>
        <w:t xml:space="preserve">andard deviation of </w:t>
      </w:r>
      <w:r w:rsidRPr="00210BD3">
        <w:rPr>
          <w:rFonts w:ascii="Times New Roman" w:eastAsia="Calibri" w:hAnsi="Times New Roman" w:cs="Times New Roman"/>
          <w:sz w:val="26"/>
          <w:szCs w:val="26"/>
        </w:rPr>
        <w:t xml:space="preserve">.82. Finally in this table, Respondents strongly agreed that food and nutrition reduces the cost of sourcing the family food as can be seen in the mean score of </w:t>
      </w:r>
      <w:r w:rsidR="00A97113" w:rsidRPr="00210BD3">
        <w:rPr>
          <w:rFonts w:ascii="Times New Roman" w:eastAsia="Calibri" w:hAnsi="Times New Roman" w:cs="Times New Roman"/>
          <w:sz w:val="26"/>
          <w:szCs w:val="26"/>
        </w:rPr>
        <w:t>3.06 and</w:t>
      </w:r>
      <w:r w:rsidR="00CB38B4" w:rsidRPr="00210BD3">
        <w:rPr>
          <w:rFonts w:ascii="Times New Roman" w:eastAsia="Calibri" w:hAnsi="Times New Roman" w:cs="Times New Roman"/>
          <w:sz w:val="26"/>
          <w:szCs w:val="26"/>
        </w:rPr>
        <w:t xml:space="preserve"> standard deviation of </w:t>
      </w:r>
      <w:r w:rsidR="00745C47" w:rsidRPr="00210BD3">
        <w:rPr>
          <w:rFonts w:ascii="Times New Roman" w:eastAsia="Calibri" w:hAnsi="Times New Roman" w:cs="Times New Roman"/>
          <w:sz w:val="26"/>
          <w:szCs w:val="26"/>
        </w:rPr>
        <w:t>.8.</w:t>
      </w:r>
    </w:p>
    <w:p w:rsidR="002250C6" w:rsidRPr="00210BD3" w:rsidRDefault="002250C6" w:rsidP="00750353">
      <w:pPr>
        <w:spacing w:after="0" w:line="240" w:lineRule="auto"/>
        <w:ind w:left="90" w:firstLine="786"/>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lastRenderedPageBreak/>
        <w:t xml:space="preserve">The aforementioned analysis indicated that the </w:t>
      </w:r>
      <w:r w:rsidRPr="00210BD3">
        <w:rPr>
          <w:rFonts w:ascii="Times New Roman" w:eastAsia="Calibri" w:hAnsi="Times New Roman" w:cs="Times New Roman"/>
          <w:bCs/>
          <w:sz w:val="26"/>
          <w:szCs w:val="26"/>
        </w:rPr>
        <w:t xml:space="preserve">farmers </w:t>
      </w:r>
      <w:r w:rsidRPr="00210BD3">
        <w:rPr>
          <w:rFonts w:ascii="Times New Roman" w:eastAsia="Calibri" w:hAnsi="Times New Roman" w:cs="Times New Roman"/>
          <w:sz w:val="26"/>
          <w:szCs w:val="26"/>
        </w:rPr>
        <w:t xml:space="preserve">strongly agreed that there is a relationship between food and nutrition knowledge and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eastAsia="Calibri" w:hAnsi="Times New Roman" w:cs="Times New Roman"/>
          <w:sz w:val="26"/>
          <w:szCs w:val="26"/>
        </w:rPr>
        <w:t>. Finally, the gra</w:t>
      </w:r>
      <w:r w:rsidR="00291099" w:rsidRPr="00210BD3">
        <w:rPr>
          <w:rFonts w:ascii="Times New Roman" w:eastAsia="Calibri" w:hAnsi="Times New Roman" w:cs="Times New Roman"/>
          <w:sz w:val="26"/>
          <w:szCs w:val="26"/>
        </w:rPr>
        <w:t xml:space="preserve">nd standard deviation score of </w:t>
      </w:r>
      <w:r w:rsidRPr="00210BD3">
        <w:rPr>
          <w:rFonts w:ascii="Times New Roman" w:eastAsia="Calibri" w:hAnsi="Times New Roman" w:cs="Times New Roman"/>
          <w:sz w:val="26"/>
          <w:szCs w:val="26"/>
        </w:rPr>
        <w:t xml:space="preserve">.82 revealed that the respondents were homogenous in their response on impacts of food and nutrition knowledge on sustainable management of family resources in </w:t>
      </w:r>
      <w:r w:rsidRPr="00210BD3">
        <w:rPr>
          <w:rFonts w:ascii="Times New Roman" w:hAnsi="Times New Roman" w:cs="Times New Roman"/>
          <w:iCs/>
          <w:sz w:val="26"/>
          <w:szCs w:val="26"/>
        </w:rPr>
        <w:t>Oshimili South Local Government Area</w:t>
      </w:r>
    </w:p>
    <w:p w:rsidR="002250C6" w:rsidRPr="00210BD3" w:rsidRDefault="002250C6" w:rsidP="00750353">
      <w:pPr>
        <w:autoSpaceDE w:val="0"/>
        <w:autoSpaceDN w:val="0"/>
        <w:adjustRightInd w:val="0"/>
        <w:spacing w:after="0" w:line="240" w:lineRule="auto"/>
        <w:ind w:left="90" w:firstLine="786"/>
        <w:jc w:val="both"/>
        <w:rPr>
          <w:rFonts w:ascii="Times New Roman" w:eastAsia="Calibri" w:hAnsi="Times New Roman" w:cs="Times New Roman"/>
          <w:b/>
          <w:bCs/>
          <w:sz w:val="26"/>
          <w:szCs w:val="26"/>
        </w:rPr>
      </w:pPr>
    </w:p>
    <w:p w:rsidR="00BF7383" w:rsidRPr="004D3253" w:rsidRDefault="00BF7383" w:rsidP="00750353">
      <w:pPr>
        <w:spacing w:after="0" w:line="240" w:lineRule="auto"/>
        <w:ind w:left="90" w:firstLine="360"/>
        <w:jc w:val="both"/>
        <w:rPr>
          <w:rFonts w:ascii="Times New Roman" w:eastAsia="Calibri" w:hAnsi="Times New Roman" w:cs="Times New Roman"/>
          <w:b/>
          <w:sz w:val="26"/>
          <w:szCs w:val="26"/>
        </w:rPr>
      </w:pPr>
      <w:r w:rsidRPr="004D3253">
        <w:rPr>
          <w:rFonts w:ascii="Times New Roman" w:eastAsia="Calibri" w:hAnsi="Times New Roman" w:cs="Times New Roman"/>
          <w:b/>
          <w:sz w:val="26"/>
          <w:szCs w:val="26"/>
        </w:rPr>
        <w:t>Research question two</w:t>
      </w:r>
    </w:p>
    <w:p w:rsidR="00BF7383" w:rsidRPr="00210BD3" w:rsidRDefault="00BF7383" w:rsidP="00750353">
      <w:pPr>
        <w:spacing w:after="0" w:line="240" w:lineRule="auto"/>
        <w:ind w:left="90" w:firstLine="786"/>
        <w:jc w:val="both"/>
        <w:rPr>
          <w:rFonts w:ascii="Times New Roman" w:hAnsi="Times New Roman" w:cs="Times New Roman"/>
          <w:bCs/>
          <w:sz w:val="26"/>
          <w:szCs w:val="26"/>
        </w:rPr>
      </w:pPr>
      <w:r w:rsidRPr="00210BD3">
        <w:rPr>
          <w:rFonts w:ascii="Times New Roman" w:eastAsia="Calibri" w:hAnsi="Times New Roman" w:cs="Times New Roman"/>
          <w:sz w:val="26"/>
          <w:szCs w:val="26"/>
        </w:rPr>
        <w:t xml:space="preserve">What is the difference between the mean rating of male and female farmers' opinions on the challenges of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hAnsi="Times New Roman" w:cs="Times New Roman"/>
          <w:bCs/>
          <w:sz w:val="26"/>
          <w:szCs w:val="26"/>
        </w:rPr>
        <w:t>?</w:t>
      </w:r>
    </w:p>
    <w:p w:rsidR="004D3253" w:rsidRDefault="004D3253" w:rsidP="00750353">
      <w:pPr>
        <w:spacing w:after="0" w:line="240" w:lineRule="auto"/>
        <w:ind w:left="90" w:firstLine="786"/>
        <w:jc w:val="both"/>
        <w:rPr>
          <w:rFonts w:ascii="Times New Roman" w:hAnsi="Times New Roman" w:cs="Times New Roman"/>
          <w:bCs/>
          <w:sz w:val="26"/>
          <w:szCs w:val="26"/>
        </w:rPr>
        <w:sectPr w:rsidR="004D3253" w:rsidSect="00750353">
          <w:type w:val="continuous"/>
          <w:pgSz w:w="12240" w:h="15840" w:code="1"/>
          <w:pgMar w:top="1440" w:right="1440" w:bottom="1440" w:left="1440" w:header="706" w:footer="706" w:gutter="0"/>
          <w:cols w:num="2" w:space="540"/>
          <w:docGrid w:linePitch="360"/>
        </w:sectPr>
      </w:pPr>
    </w:p>
    <w:p w:rsidR="00313FDA" w:rsidRPr="00210BD3" w:rsidRDefault="00313FDA" w:rsidP="007137CC">
      <w:pPr>
        <w:spacing w:after="0" w:line="240" w:lineRule="auto"/>
        <w:jc w:val="both"/>
        <w:rPr>
          <w:rFonts w:ascii="Times New Roman" w:hAnsi="Times New Roman" w:cs="Times New Roman"/>
          <w:bCs/>
          <w:sz w:val="26"/>
          <w:szCs w:val="26"/>
        </w:rPr>
      </w:pPr>
    </w:p>
    <w:p w:rsidR="00F815D8" w:rsidRPr="00210BD3" w:rsidRDefault="00F815D8" w:rsidP="007137CC">
      <w:pPr>
        <w:spacing w:after="0" w:line="240" w:lineRule="auto"/>
        <w:jc w:val="both"/>
        <w:rPr>
          <w:rFonts w:ascii="Times New Roman" w:hAnsi="Times New Roman" w:cs="Times New Roman"/>
          <w:bCs/>
          <w:sz w:val="26"/>
          <w:szCs w:val="26"/>
        </w:rPr>
      </w:pPr>
      <w:r w:rsidRPr="00210BD3">
        <w:rPr>
          <w:rFonts w:ascii="Times New Roman" w:hAnsi="Times New Roman" w:cs="Times New Roman"/>
          <w:bCs/>
          <w:sz w:val="26"/>
          <w:szCs w:val="26"/>
        </w:rPr>
        <w:t>Summary answers to research question two is presented in Table 2.</w:t>
      </w:r>
    </w:p>
    <w:p w:rsidR="00F55D1B" w:rsidRPr="00960639" w:rsidRDefault="00F55D1B" w:rsidP="007137CC">
      <w:pPr>
        <w:spacing w:after="0" w:line="240" w:lineRule="auto"/>
        <w:jc w:val="both"/>
        <w:rPr>
          <w:rFonts w:ascii="Times New Roman" w:hAnsi="Times New Roman" w:cs="Times New Roman"/>
          <w:bCs/>
          <w:sz w:val="26"/>
          <w:szCs w:val="26"/>
        </w:rPr>
      </w:pPr>
    </w:p>
    <w:p w:rsidR="00DB6965" w:rsidRPr="00210BD3" w:rsidRDefault="00DB6965" w:rsidP="007137CC">
      <w:pPr>
        <w:autoSpaceDE w:val="0"/>
        <w:autoSpaceDN w:val="0"/>
        <w:adjustRightInd w:val="0"/>
        <w:spacing w:after="0" w:line="240" w:lineRule="auto"/>
        <w:rPr>
          <w:rFonts w:ascii="Times New Roman" w:eastAsia="Calibri" w:hAnsi="Times New Roman" w:cs="Times New Roman"/>
          <w:sz w:val="26"/>
          <w:szCs w:val="26"/>
        </w:rPr>
      </w:pPr>
      <w:r w:rsidRPr="00210BD3">
        <w:rPr>
          <w:rFonts w:ascii="Times New Roman" w:eastAsia="Calibri" w:hAnsi="Times New Roman" w:cs="Times New Roman"/>
          <w:bCs/>
          <w:sz w:val="26"/>
          <w:szCs w:val="26"/>
        </w:rPr>
        <w:t>Table 2: Mean and Standard Deviation Scores of Response on Farmers Perception of Challenges</w:t>
      </w:r>
      <w:r w:rsidRPr="00210BD3">
        <w:rPr>
          <w:rFonts w:ascii="Times New Roman" w:eastAsia="Calibri" w:hAnsi="Times New Roman" w:cs="Times New Roman"/>
          <w:sz w:val="26"/>
          <w:szCs w:val="26"/>
        </w:rPr>
        <w:t xml:space="preserve"> of Sustainable Management of Family Resources</w:t>
      </w:r>
    </w:p>
    <w:p w:rsidR="00DB6965" w:rsidRPr="00210BD3" w:rsidRDefault="00DB6965" w:rsidP="007137CC">
      <w:pPr>
        <w:autoSpaceDE w:val="0"/>
        <w:autoSpaceDN w:val="0"/>
        <w:adjustRightInd w:val="0"/>
        <w:spacing w:after="0" w:line="240" w:lineRule="auto"/>
        <w:jc w:val="both"/>
        <w:rPr>
          <w:rFonts w:ascii="Times New Roman" w:eastAsia="Times New Roman" w:hAnsi="Times New Roman" w:cs="Times New Roman"/>
          <w:bCs/>
          <w:sz w:val="26"/>
          <w:szCs w:val="26"/>
        </w:rPr>
      </w:pPr>
    </w:p>
    <w:tbl>
      <w:tblPr>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
        <w:gridCol w:w="5061"/>
        <w:gridCol w:w="901"/>
        <w:gridCol w:w="2598"/>
        <w:gridCol w:w="1228"/>
      </w:tblGrid>
      <w:tr w:rsidR="00DB6965" w:rsidRPr="00210BD3" w:rsidTr="00D73698">
        <w:trPr>
          <w:trHeight w:val="516"/>
          <w:jc w:val="center"/>
        </w:trPr>
        <w:tc>
          <w:tcPr>
            <w:tcW w:w="236" w:type="dxa"/>
            <w:tcBorders>
              <w:top w:val="single" w:sz="4" w:space="0" w:color="000000"/>
              <w:left w:val="nil"/>
              <w:bottom w:val="single" w:sz="4" w:space="0" w:color="000000"/>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bCs/>
                <w:sz w:val="26"/>
                <w:szCs w:val="26"/>
              </w:rPr>
            </w:pPr>
          </w:p>
        </w:tc>
        <w:tc>
          <w:tcPr>
            <w:tcW w:w="5061" w:type="dxa"/>
            <w:tcBorders>
              <w:top w:val="single" w:sz="4" w:space="0" w:color="000000"/>
              <w:left w:val="nil"/>
              <w:bottom w:val="single" w:sz="4" w:space="0" w:color="000000"/>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Items Description</w:t>
            </w:r>
          </w:p>
        </w:tc>
        <w:tc>
          <w:tcPr>
            <w:tcW w:w="901" w:type="dxa"/>
            <w:tcBorders>
              <w:top w:val="single" w:sz="4" w:space="0" w:color="000000"/>
              <w:left w:val="nil"/>
              <w:bottom w:val="single" w:sz="4" w:space="0" w:color="000000"/>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Mean </w:t>
            </w:r>
          </w:p>
        </w:tc>
        <w:tc>
          <w:tcPr>
            <w:tcW w:w="2598" w:type="dxa"/>
            <w:tcBorders>
              <w:top w:val="single" w:sz="4" w:space="0" w:color="000000"/>
              <w:left w:val="nil"/>
              <w:bottom w:val="single" w:sz="4" w:space="0" w:color="000000"/>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Standard Deviation</w:t>
            </w:r>
          </w:p>
        </w:tc>
        <w:tc>
          <w:tcPr>
            <w:tcW w:w="1228" w:type="dxa"/>
            <w:tcBorders>
              <w:top w:val="single" w:sz="4" w:space="0" w:color="000000"/>
              <w:left w:val="nil"/>
              <w:bottom w:val="single" w:sz="4" w:space="0" w:color="000000"/>
              <w:right w:val="nil"/>
            </w:tcBorders>
            <w:hideMark/>
          </w:tcPr>
          <w:p w:rsidR="00DB6965" w:rsidRPr="00210BD3" w:rsidRDefault="00DB6965" w:rsidP="007137CC">
            <w:pPr>
              <w:spacing w:before="100" w:beforeAutospacing="1" w:after="0" w:line="240" w:lineRule="auto"/>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Decision</w:t>
            </w:r>
          </w:p>
        </w:tc>
      </w:tr>
      <w:tr w:rsidR="00DB6965" w:rsidRPr="00210BD3" w:rsidTr="00D73698">
        <w:trPr>
          <w:jc w:val="center"/>
        </w:trPr>
        <w:tc>
          <w:tcPr>
            <w:tcW w:w="236" w:type="dxa"/>
            <w:tcBorders>
              <w:top w:val="single" w:sz="4" w:space="0" w:color="000000"/>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p>
        </w:tc>
        <w:tc>
          <w:tcPr>
            <w:tcW w:w="5061" w:type="dxa"/>
            <w:tcBorders>
              <w:top w:val="single" w:sz="4" w:space="0" w:color="000000"/>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Illiteracy </w:t>
            </w:r>
          </w:p>
        </w:tc>
        <w:tc>
          <w:tcPr>
            <w:tcW w:w="901" w:type="dxa"/>
            <w:tcBorders>
              <w:top w:val="single" w:sz="4" w:space="0" w:color="000000"/>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3.08</w:t>
            </w:r>
          </w:p>
        </w:tc>
        <w:tc>
          <w:tcPr>
            <w:tcW w:w="2598" w:type="dxa"/>
            <w:tcBorders>
              <w:top w:val="single" w:sz="4" w:space="0" w:color="000000"/>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0.80</w:t>
            </w:r>
          </w:p>
        </w:tc>
        <w:tc>
          <w:tcPr>
            <w:tcW w:w="1228" w:type="dxa"/>
            <w:tcBorders>
              <w:top w:val="single" w:sz="4" w:space="0" w:color="000000"/>
              <w:left w:val="nil"/>
              <w:bottom w:val="nil"/>
              <w:right w:val="nil"/>
            </w:tcBorders>
            <w:hideMark/>
          </w:tcPr>
          <w:p w:rsidR="00DB6965" w:rsidRPr="00210BD3" w:rsidRDefault="00DB6965"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DB6965" w:rsidRPr="00210BD3" w:rsidTr="00D73698">
        <w:trPr>
          <w:jc w:val="center"/>
        </w:trPr>
        <w:tc>
          <w:tcPr>
            <w:tcW w:w="236"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p>
        </w:tc>
        <w:tc>
          <w:tcPr>
            <w:tcW w:w="506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Poverty</w:t>
            </w:r>
          </w:p>
        </w:tc>
        <w:tc>
          <w:tcPr>
            <w:tcW w:w="90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3.17</w:t>
            </w:r>
          </w:p>
        </w:tc>
        <w:tc>
          <w:tcPr>
            <w:tcW w:w="2598"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0.82</w:t>
            </w:r>
          </w:p>
        </w:tc>
        <w:tc>
          <w:tcPr>
            <w:tcW w:w="1228" w:type="dxa"/>
            <w:tcBorders>
              <w:top w:val="nil"/>
              <w:left w:val="nil"/>
              <w:bottom w:val="nil"/>
              <w:right w:val="nil"/>
            </w:tcBorders>
            <w:hideMark/>
          </w:tcPr>
          <w:p w:rsidR="00DB6965" w:rsidRPr="00210BD3" w:rsidRDefault="00DB6965"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DB6965" w:rsidRPr="00210BD3" w:rsidTr="00D73698">
        <w:trPr>
          <w:jc w:val="center"/>
        </w:trPr>
        <w:tc>
          <w:tcPr>
            <w:tcW w:w="236"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p>
        </w:tc>
        <w:tc>
          <w:tcPr>
            <w:tcW w:w="506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Shortage of food supply</w:t>
            </w:r>
          </w:p>
        </w:tc>
        <w:tc>
          <w:tcPr>
            <w:tcW w:w="90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3.16</w:t>
            </w:r>
          </w:p>
        </w:tc>
        <w:tc>
          <w:tcPr>
            <w:tcW w:w="2598"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0.80</w:t>
            </w:r>
          </w:p>
        </w:tc>
        <w:tc>
          <w:tcPr>
            <w:tcW w:w="1228" w:type="dxa"/>
            <w:tcBorders>
              <w:top w:val="nil"/>
              <w:left w:val="nil"/>
              <w:bottom w:val="nil"/>
              <w:right w:val="nil"/>
            </w:tcBorders>
            <w:hideMark/>
          </w:tcPr>
          <w:p w:rsidR="00DB6965" w:rsidRPr="00210BD3" w:rsidRDefault="00DB6965"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DB6965" w:rsidRPr="00210BD3" w:rsidTr="00D73698">
        <w:trPr>
          <w:jc w:val="center"/>
        </w:trPr>
        <w:tc>
          <w:tcPr>
            <w:tcW w:w="236"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p>
        </w:tc>
        <w:tc>
          <w:tcPr>
            <w:tcW w:w="506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Poor infrastructure to food supply </w:t>
            </w:r>
          </w:p>
        </w:tc>
        <w:tc>
          <w:tcPr>
            <w:tcW w:w="90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3.17</w:t>
            </w:r>
          </w:p>
        </w:tc>
        <w:tc>
          <w:tcPr>
            <w:tcW w:w="2598"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0.82</w:t>
            </w:r>
          </w:p>
        </w:tc>
        <w:tc>
          <w:tcPr>
            <w:tcW w:w="1228" w:type="dxa"/>
            <w:tcBorders>
              <w:top w:val="nil"/>
              <w:left w:val="nil"/>
              <w:bottom w:val="nil"/>
              <w:right w:val="nil"/>
            </w:tcBorders>
            <w:hideMark/>
          </w:tcPr>
          <w:p w:rsidR="00DB6965" w:rsidRPr="00210BD3" w:rsidRDefault="00DB6965" w:rsidP="007137CC">
            <w:pPr>
              <w:spacing w:before="100" w:beforeAutospacing="1"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r w:rsidR="00DB6965" w:rsidRPr="00210BD3" w:rsidTr="00D73698">
        <w:trPr>
          <w:jc w:val="center"/>
        </w:trPr>
        <w:tc>
          <w:tcPr>
            <w:tcW w:w="236"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p>
        </w:tc>
        <w:tc>
          <w:tcPr>
            <w:tcW w:w="5061" w:type="dxa"/>
            <w:tcBorders>
              <w:top w:val="nil"/>
              <w:left w:val="nil"/>
              <w:bottom w:val="nil"/>
              <w:right w:val="nil"/>
            </w:tcBorders>
            <w:hideMark/>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Poor communication between farmers and the food market</w:t>
            </w:r>
          </w:p>
        </w:tc>
        <w:tc>
          <w:tcPr>
            <w:tcW w:w="901"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3.09</w:t>
            </w:r>
          </w:p>
        </w:tc>
        <w:tc>
          <w:tcPr>
            <w:tcW w:w="2598" w:type="dxa"/>
            <w:tcBorders>
              <w:top w:val="nil"/>
              <w:left w:val="nil"/>
              <w:bottom w:val="nil"/>
              <w:right w:val="nil"/>
            </w:tcBorders>
          </w:tcPr>
          <w:p w:rsidR="00DB6965" w:rsidRPr="00210BD3" w:rsidRDefault="00DB6965" w:rsidP="007137CC">
            <w:pPr>
              <w:spacing w:before="100" w:beforeAutospacing="1"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0.80   </w:t>
            </w:r>
          </w:p>
        </w:tc>
        <w:tc>
          <w:tcPr>
            <w:tcW w:w="1228" w:type="dxa"/>
            <w:tcBorders>
              <w:top w:val="nil"/>
              <w:left w:val="nil"/>
              <w:bottom w:val="nil"/>
              <w:right w:val="nil"/>
            </w:tcBorders>
          </w:tcPr>
          <w:p w:rsidR="00DB6965" w:rsidRPr="00210BD3" w:rsidRDefault="00DB6965" w:rsidP="007137CC">
            <w:pPr>
              <w:spacing w:before="100" w:beforeAutospacing="1"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SA</w:t>
            </w:r>
          </w:p>
        </w:tc>
      </w:tr>
    </w:tbl>
    <w:p w:rsidR="00DB6965" w:rsidRPr="00210BD3" w:rsidRDefault="00DB6965" w:rsidP="007137CC">
      <w:pPr>
        <w:autoSpaceDE w:val="0"/>
        <w:autoSpaceDN w:val="0"/>
        <w:adjustRightInd w:val="0"/>
        <w:spacing w:after="0" w:line="240" w:lineRule="auto"/>
        <w:jc w:val="both"/>
        <w:rPr>
          <w:rFonts w:ascii="Times New Roman" w:hAnsi="Times New Roman" w:cs="Times New Roman"/>
          <w:bCs/>
          <w:sz w:val="26"/>
          <w:szCs w:val="26"/>
        </w:rPr>
      </w:pPr>
      <w:r w:rsidRPr="00210BD3">
        <w:rPr>
          <w:rFonts w:ascii="Times New Roman" w:hAnsi="Times New Roman" w:cs="Times New Roman"/>
          <w:bCs/>
          <w:sz w:val="26"/>
          <w:szCs w:val="26"/>
        </w:rPr>
        <w:t>Grand Mean/SD</w:t>
      </w:r>
      <w:r w:rsidRPr="00210BD3">
        <w:rPr>
          <w:rFonts w:ascii="Times New Roman" w:hAnsi="Times New Roman" w:cs="Times New Roman"/>
          <w:bCs/>
          <w:sz w:val="26"/>
          <w:szCs w:val="26"/>
        </w:rPr>
        <w:tab/>
      </w:r>
      <w:r w:rsidRPr="00210BD3">
        <w:rPr>
          <w:rFonts w:ascii="Times New Roman" w:hAnsi="Times New Roman" w:cs="Times New Roman"/>
          <w:bCs/>
          <w:sz w:val="26"/>
          <w:szCs w:val="26"/>
        </w:rPr>
        <w:tab/>
      </w:r>
      <w:r w:rsidRPr="00210BD3">
        <w:rPr>
          <w:rFonts w:ascii="Times New Roman" w:hAnsi="Times New Roman" w:cs="Times New Roman"/>
          <w:bCs/>
          <w:sz w:val="26"/>
          <w:szCs w:val="26"/>
        </w:rPr>
        <w:tab/>
        <w:t xml:space="preserve">                         3.13</w:t>
      </w:r>
      <w:r w:rsidRPr="00210BD3">
        <w:rPr>
          <w:rFonts w:ascii="Times New Roman" w:hAnsi="Times New Roman" w:cs="Times New Roman"/>
          <w:bCs/>
          <w:sz w:val="26"/>
          <w:szCs w:val="26"/>
        </w:rPr>
        <w:tab/>
        <w:t xml:space="preserve">               0.81</w:t>
      </w:r>
      <w:r w:rsidRPr="00210BD3">
        <w:rPr>
          <w:rFonts w:ascii="Times New Roman" w:hAnsi="Times New Roman" w:cs="Times New Roman"/>
          <w:bCs/>
          <w:sz w:val="26"/>
          <w:szCs w:val="26"/>
        </w:rPr>
        <w:tab/>
      </w:r>
      <w:r w:rsidRPr="00210BD3">
        <w:rPr>
          <w:rFonts w:ascii="Times New Roman" w:hAnsi="Times New Roman" w:cs="Times New Roman"/>
          <w:bCs/>
          <w:sz w:val="26"/>
          <w:szCs w:val="26"/>
        </w:rPr>
        <w:tab/>
        <w:t xml:space="preserve">                 SA</w:t>
      </w:r>
    </w:p>
    <w:p w:rsidR="00DB6965" w:rsidRPr="00210BD3" w:rsidRDefault="00330E99" w:rsidP="007137CC">
      <w:pPr>
        <w:spacing w:after="0" w:line="240" w:lineRule="auto"/>
        <w:rPr>
          <w:rFonts w:ascii="Times New Roman" w:eastAsia="Calibri" w:hAnsi="Times New Roman" w:cs="Times New Roman"/>
          <w:sz w:val="26"/>
          <w:szCs w:val="26"/>
        </w:rPr>
      </w:pPr>
      <w:r w:rsidRPr="00330E99">
        <w:rPr>
          <w:rFonts w:ascii="Times New Roman" w:eastAsia="Calibri" w:hAnsi="Times New Roman" w:cs="Times New Roman"/>
          <w:noProof/>
          <w:sz w:val="26"/>
          <w:szCs w:val="26"/>
        </w:rPr>
        <w:pict>
          <v:line id="Straight Connector 1" o:spid="_x0000_s1029" style="position:absolute;z-index:251663360;visibility:visible" from="-8.85pt,8.45pt" to="487.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" strokecolor="black [3040]" strokeweight="1.5pt"/>
        </w:pict>
      </w:r>
    </w:p>
    <w:p w:rsidR="00960639" w:rsidRDefault="00960639" w:rsidP="007137CC">
      <w:pPr>
        <w:spacing w:after="0" w:line="240" w:lineRule="auto"/>
        <w:jc w:val="both"/>
        <w:rPr>
          <w:rFonts w:ascii="Times New Roman" w:eastAsia="Calibri" w:hAnsi="Times New Roman" w:cs="Times New Roman"/>
          <w:sz w:val="26"/>
          <w:szCs w:val="26"/>
        </w:rPr>
        <w:sectPr w:rsidR="00960639" w:rsidSect="00210BD3">
          <w:type w:val="continuous"/>
          <w:pgSz w:w="12240" w:h="15840" w:code="1"/>
          <w:pgMar w:top="1440" w:right="1440" w:bottom="1440" w:left="1440" w:header="706" w:footer="706" w:gutter="0"/>
          <w:cols w:space="708"/>
          <w:docGrid w:linePitch="360"/>
        </w:sectPr>
      </w:pPr>
    </w:p>
    <w:p w:rsidR="002250C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lastRenderedPageBreak/>
        <w:t xml:space="preserve">The result of data in Table 2 revealed that the respondents strongly agreed that illiteracy is a challenge to sustainable management of family resources as was reflected in the mean score of 3.08 and standard deviation of </w:t>
      </w:r>
      <w:r w:rsidRPr="00210BD3">
        <w:rPr>
          <w:rFonts w:ascii="Times New Roman" w:eastAsia="Calibri" w:hAnsi="Times New Roman" w:cs="Times New Roman"/>
          <w:sz w:val="26"/>
          <w:szCs w:val="26"/>
        </w:rPr>
        <w:lastRenderedPageBreak/>
        <w:t xml:space="preserve">0.80 respectively. Respondents also strongly agreed that poverty is a challenge to sustainable management of family resources as was reflected in the mean score of 3.17 and standard deviation of 0.82 respectively.  </w:t>
      </w:r>
      <w:r w:rsidRPr="00210BD3">
        <w:rPr>
          <w:rFonts w:ascii="Times New Roman" w:eastAsia="Calibri" w:hAnsi="Times New Roman" w:cs="Times New Roman"/>
          <w:sz w:val="26"/>
          <w:szCs w:val="26"/>
        </w:rPr>
        <w:lastRenderedPageBreak/>
        <w:t xml:space="preserve">Moreover, respondents strongly agreed that the shortage of food supply is a challenge to sustainable management of family resources as was reflected in the mean score of 3.16 and standard deviation of 0.80 respectively.  Respondents strongly agreed that poor infrastructure to food supply is a challenge to sustainable management of family resources as was reflected in the mean score of 3.17 and standard deviation of 0.82 respectively. Finally in this table, respondents strongly agreed that poor communication between farmers and the food market is a challenge to sustainable management of family resources as was reflected in the mean score of 3.09 and standard deviation of 0.80 respectively. The aforementioned analysis indicated that </w:t>
      </w:r>
      <w:r w:rsidRPr="00210BD3">
        <w:rPr>
          <w:rFonts w:ascii="Times New Roman" w:eastAsia="Calibri" w:hAnsi="Times New Roman" w:cs="Times New Roman"/>
          <w:sz w:val="26"/>
          <w:szCs w:val="26"/>
        </w:rPr>
        <w:lastRenderedPageBreak/>
        <w:t xml:space="preserve">the </w:t>
      </w:r>
      <w:r w:rsidRPr="00210BD3">
        <w:rPr>
          <w:rFonts w:ascii="Times New Roman" w:eastAsia="Calibri" w:hAnsi="Times New Roman" w:cs="Times New Roman"/>
          <w:bCs/>
          <w:sz w:val="26"/>
          <w:szCs w:val="26"/>
        </w:rPr>
        <w:t xml:space="preserve">farmers </w:t>
      </w:r>
      <w:r w:rsidRPr="00210BD3">
        <w:rPr>
          <w:rFonts w:ascii="Times New Roman" w:eastAsia="Calibri" w:hAnsi="Times New Roman" w:cs="Times New Roman"/>
          <w:sz w:val="26"/>
          <w:szCs w:val="26"/>
        </w:rPr>
        <w:t xml:space="preserve">strongly agreed that the items described in Table 2 are the challenges of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eastAsia="Calibri" w:hAnsi="Times New Roman" w:cs="Times New Roman"/>
          <w:sz w:val="26"/>
          <w:szCs w:val="26"/>
        </w:rPr>
        <w:t>. The grand standard deviation score of 0.81 indicate that the farmers had similar view on challenges of sustainable management of family resources in Oshimili South Local Government Area of Imo State.</w:t>
      </w:r>
    </w:p>
    <w:p w:rsidR="002250C6" w:rsidRPr="00210BD3" w:rsidRDefault="002250C6" w:rsidP="007137CC">
      <w:pPr>
        <w:autoSpaceDE w:val="0"/>
        <w:autoSpaceDN w:val="0"/>
        <w:adjustRightInd w:val="0"/>
        <w:spacing w:after="0" w:line="240" w:lineRule="auto"/>
        <w:jc w:val="both"/>
        <w:rPr>
          <w:rFonts w:ascii="Times New Roman" w:eastAsia="Calibri" w:hAnsi="Times New Roman" w:cs="Times New Roman"/>
          <w:b/>
          <w:bCs/>
          <w:sz w:val="26"/>
          <w:szCs w:val="26"/>
        </w:rPr>
      </w:pPr>
    </w:p>
    <w:p w:rsidR="002250C6" w:rsidRPr="00210BD3" w:rsidRDefault="002250C6" w:rsidP="007137CC">
      <w:pPr>
        <w:spacing w:after="0"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 xml:space="preserve">Hypotheses </w:t>
      </w:r>
    </w:p>
    <w:p w:rsidR="000A6BFC" w:rsidRPr="00210BD3" w:rsidRDefault="000A6BFC"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Null hypothesis one</w:t>
      </w:r>
    </w:p>
    <w:p w:rsidR="00CC6291" w:rsidRPr="00210BD3" w:rsidRDefault="002250C6" w:rsidP="007137CC">
      <w:pPr>
        <w:spacing w:after="0" w:line="240" w:lineRule="auto"/>
        <w:jc w:val="both"/>
        <w:rPr>
          <w:rFonts w:ascii="Times New Roman" w:hAnsi="Times New Roman" w:cs="Times New Roman"/>
          <w:bCs/>
          <w:sz w:val="26"/>
          <w:szCs w:val="26"/>
        </w:rPr>
      </w:pPr>
      <w:r w:rsidRPr="00210BD3">
        <w:rPr>
          <w:rFonts w:ascii="Times New Roman" w:eastAsia="Calibri" w:hAnsi="Times New Roman" w:cs="Times New Roman"/>
          <w:sz w:val="26"/>
          <w:szCs w:val="26"/>
        </w:rPr>
        <w:t xml:space="preserve">There is no significant difference between the mean rating of male and female farmers' opinions on the impact of food and nutrition knowledge on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hAnsi="Times New Roman" w:cs="Times New Roman"/>
          <w:bCs/>
          <w:sz w:val="26"/>
          <w:szCs w:val="26"/>
        </w:rPr>
        <w:t>.</w:t>
      </w:r>
    </w:p>
    <w:p w:rsidR="00960639" w:rsidRDefault="00960639" w:rsidP="007137CC">
      <w:pPr>
        <w:spacing w:after="0" w:line="240" w:lineRule="auto"/>
        <w:jc w:val="both"/>
        <w:rPr>
          <w:rFonts w:ascii="Times New Roman" w:hAnsi="Times New Roman" w:cs="Times New Roman"/>
          <w:bCs/>
          <w:sz w:val="26"/>
          <w:szCs w:val="26"/>
        </w:rPr>
        <w:sectPr w:rsidR="00960639" w:rsidSect="00960639">
          <w:type w:val="continuous"/>
          <w:pgSz w:w="12240" w:h="15840" w:code="1"/>
          <w:pgMar w:top="1440" w:right="1440" w:bottom="1440" w:left="1440" w:header="706" w:footer="706" w:gutter="0"/>
          <w:cols w:num="2" w:space="708"/>
          <w:docGrid w:linePitch="360"/>
        </w:sectPr>
      </w:pPr>
    </w:p>
    <w:p w:rsidR="00960639" w:rsidRDefault="008723A9" w:rsidP="007137CC">
      <w:pPr>
        <w:tabs>
          <w:tab w:val="left" w:pos="4219"/>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ab/>
      </w:r>
    </w:p>
    <w:p w:rsidR="000A6BFC" w:rsidRPr="00210BD3" w:rsidRDefault="000A6BFC" w:rsidP="007137CC">
      <w:pPr>
        <w:spacing w:after="0" w:line="240" w:lineRule="auto"/>
        <w:jc w:val="both"/>
        <w:rPr>
          <w:rFonts w:ascii="Times New Roman" w:hAnsi="Times New Roman" w:cs="Times New Roman"/>
          <w:bCs/>
          <w:sz w:val="26"/>
          <w:szCs w:val="26"/>
        </w:rPr>
      </w:pPr>
      <w:r w:rsidRPr="00210BD3">
        <w:rPr>
          <w:rFonts w:ascii="Times New Roman" w:hAnsi="Times New Roman" w:cs="Times New Roman"/>
          <w:bCs/>
          <w:sz w:val="26"/>
          <w:szCs w:val="26"/>
        </w:rPr>
        <w:t>Summary of results from test of null hypothesis one is presented in Table 3.</w:t>
      </w:r>
    </w:p>
    <w:p w:rsidR="00E20B23" w:rsidRPr="00210BD3" w:rsidRDefault="00E20B23" w:rsidP="007137CC">
      <w:pPr>
        <w:spacing w:after="0" w:line="240" w:lineRule="auto"/>
        <w:jc w:val="both"/>
        <w:rPr>
          <w:rFonts w:ascii="Times New Roman" w:hAnsi="Times New Roman" w:cs="Times New Roman"/>
          <w:bCs/>
          <w:sz w:val="26"/>
          <w:szCs w:val="26"/>
        </w:rPr>
      </w:pPr>
    </w:p>
    <w:p w:rsidR="000A6BFC" w:rsidRPr="00210BD3" w:rsidRDefault="000A6BFC"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Table 3: The mean rating of male and female farmers' opinions on the impact of food and nutrition on sustainable management of family resources</w:t>
      </w:r>
    </w:p>
    <w:tbl>
      <w:tblPr>
        <w:tblW w:w="5000" w:type="pct"/>
        <w:tblBorders>
          <w:top w:val="single" w:sz="4" w:space="0" w:color="000000"/>
          <w:bottom w:val="single" w:sz="4" w:space="0" w:color="000000"/>
        </w:tblBorders>
        <w:tblLook w:val="04A0"/>
      </w:tblPr>
      <w:tblGrid>
        <w:gridCol w:w="2696"/>
        <w:gridCol w:w="779"/>
        <w:gridCol w:w="931"/>
        <w:gridCol w:w="931"/>
        <w:gridCol w:w="618"/>
        <w:gridCol w:w="644"/>
        <w:gridCol w:w="931"/>
        <w:gridCol w:w="905"/>
        <w:gridCol w:w="1141"/>
      </w:tblGrid>
      <w:tr w:rsidR="009B7867" w:rsidRPr="00210BD3" w:rsidTr="008723A9">
        <w:tc>
          <w:tcPr>
            <w:tcW w:w="1429"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Variables</w:t>
            </w:r>
          </w:p>
        </w:tc>
        <w:tc>
          <w:tcPr>
            <w:tcW w:w="428"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 n</w:t>
            </w:r>
          </w:p>
        </w:tc>
        <w:tc>
          <w:tcPr>
            <w:tcW w:w="500"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Mean </w:t>
            </w:r>
          </w:p>
        </w:tc>
        <w:tc>
          <w:tcPr>
            <w:tcW w:w="500"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SD</w:t>
            </w:r>
          </w:p>
        </w:tc>
        <w:tc>
          <w:tcPr>
            <w:tcW w:w="357" w:type="pct"/>
            <w:tcBorders>
              <w:top w:val="single" w:sz="4" w:space="0" w:color="000000"/>
              <w:left w:val="nil"/>
              <w:bottom w:val="nil"/>
              <w:right w:val="nil"/>
            </w:tcBorders>
            <w:hideMark/>
          </w:tcPr>
          <w:p w:rsidR="009B7867" w:rsidRPr="00210BD3" w:rsidRDefault="005A49B5"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T</w:t>
            </w:r>
          </w:p>
        </w:tc>
        <w:tc>
          <w:tcPr>
            <w:tcW w:w="357"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df</w:t>
            </w:r>
          </w:p>
        </w:tc>
        <w:tc>
          <w:tcPr>
            <w:tcW w:w="500"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Sig.(2-tailed)</w:t>
            </w:r>
          </w:p>
        </w:tc>
        <w:tc>
          <w:tcPr>
            <w:tcW w:w="500"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Level of Sig.              </w:t>
            </w:r>
          </w:p>
        </w:tc>
        <w:tc>
          <w:tcPr>
            <w:tcW w:w="428" w:type="pct"/>
            <w:tcBorders>
              <w:top w:val="single" w:sz="4" w:space="0" w:color="000000"/>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Decision </w:t>
            </w:r>
          </w:p>
        </w:tc>
      </w:tr>
      <w:tr w:rsidR="009B7867" w:rsidRPr="00210BD3" w:rsidTr="008723A9">
        <w:trPr>
          <w:trHeight w:val="276"/>
        </w:trPr>
        <w:tc>
          <w:tcPr>
            <w:tcW w:w="1429" w:type="pc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Male </w:t>
            </w:r>
          </w:p>
        </w:tc>
        <w:tc>
          <w:tcPr>
            <w:tcW w:w="428" w:type="pc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66</w:t>
            </w:r>
          </w:p>
        </w:tc>
        <w:tc>
          <w:tcPr>
            <w:tcW w:w="500" w:type="pc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3.1384</w:t>
            </w:r>
          </w:p>
        </w:tc>
        <w:tc>
          <w:tcPr>
            <w:tcW w:w="500" w:type="pc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.46420</w:t>
            </w:r>
          </w:p>
        </w:tc>
        <w:tc>
          <w:tcPr>
            <w:tcW w:w="357" w:type="pc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-469</w:t>
            </w:r>
          </w:p>
        </w:tc>
        <w:tc>
          <w:tcPr>
            <w:tcW w:w="357" w:type="pct"/>
            <w:vMerge w:val="restart"/>
            <w:tcBorders>
              <w:top w:val="nil"/>
              <w:left w:val="nil"/>
              <w:bottom w:val="nil"/>
              <w:right w:val="nil"/>
            </w:tcBorders>
          </w:tcPr>
          <w:p w:rsidR="009B7867" w:rsidRPr="00210BD3" w:rsidRDefault="009B7867" w:rsidP="007137CC">
            <w:pPr>
              <w:spacing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298</w:t>
            </w:r>
          </w:p>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p>
        </w:tc>
        <w:tc>
          <w:tcPr>
            <w:tcW w:w="500" w:type="pct"/>
            <w:vMerge w:val="restart"/>
            <w:tcBorders>
              <w:top w:val="nil"/>
              <w:left w:val="nil"/>
              <w:bottom w:val="nil"/>
              <w:right w:val="nil"/>
            </w:tcBorders>
          </w:tcPr>
          <w:p w:rsidR="009B7867" w:rsidRPr="00210BD3" w:rsidRDefault="009B7867" w:rsidP="007137CC">
            <w:pPr>
              <w:spacing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0.645</w:t>
            </w:r>
          </w:p>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p>
        </w:tc>
        <w:tc>
          <w:tcPr>
            <w:tcW w:w="500" w:type="pct"/>
            <w:vMerge w:val="restar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0.05</w:t>
            </w:r>
          </w:p>
        </w:tc>
        <w:tc>
          <w:tcPr>
            <w:tcW w:w="428" w:type="pct"/>
            <w:vMerge w:val="restart"/>
            <w:tcBorders>
              <w:top w:val="nil"/>
              <w:left w:val="nil"/>
              <w:bottom w:val="nil"/>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NS</w:t>
            </w:r>
          </w:p>
        </w:tc>
      </w:tr>
      <w:tr w:rsidR="009B7867" w:rsidRPr="00210BD3" w:rsidTr="008723A9">
        <w:trPr>
          <w:trHeight w:val="276"/>
        </w:trPr>
        <w:tc>
          <w:tcPr>
            <w:tcW w:w="1429" w:type="pct"/>
            <w:tcBorders>
              <w:top w:val="nil"/>
              <w:left w:val="nil"/>
              <w:bottom w:val="single" w:sz="4" w:space="0" w:color="000000"/>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Female</w:t>
            </w:r>
          </w:p>
        </w:tc>
        <w:tc>
          <w:tcPr>
            <w:tcW w:w="428" w:type="pct"/>
            <w:tcBorders>
              <w:top w:val="nil"/>
              <w:left w:val="nil"/>
              <w:bottom w:val="single" w:sz="4" w:space="0" w:color="000000"/>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21</w:t>
            </w:r>
          </w:p>
        </w:tc>
        <w:tc>
          <w:tcPr>
            <w:tcW w:w="500" w:type="pct"/>
            <w:tcBorders>
              <w:top w:val="nil"/>
              <w:left w:val="nil"/>
              <w:bottom w:val="single" w:sz="4" w:space="0" w:color="000000"/>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3.1663</w:t>
            </w:r>
          </w:p>
        </w:tc>
        <w:tc>
          <w:tcPr>
            <w:tcW w:w="500" w:type="pct"/>
            <w:tcBorders>
              <w:top w:val="nil"/>
              <w:left w:val="nil"/>
              <w:bottom w:val="single" w:sz="4" w:space="0" w:color="000000"/>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.42772</w:t>
            </w:r>
          </w:p>
        </w:tc>
        <w:tc>
          <w:tcPr>
            <w:tcW w:w="357" w:type="pct"/>
            <w:tcBorders>
              <w:top w:val="nil"/>
              <w:left w:val="nil"/>
              <w:bottom w:val="single" w:sz="4" w:space="0" w:color="000000"/>
              <w:right w:val="nil"/>
            </w:tcBorders>
            <w:hideMark/>
          </w:tcPr>
          <w:p w:rsidR="009B7867" w:rsidRPr="00210BD3" w:rsidRDefault="009B7867"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-470</w:t>
            </w:r>
          </w:p>
        </w:tc>
        <w:tc>
          <w:tcPr>
            <w:tcW w:w="357" w:type="pct"/>
            <w:vMerge/>
            <w:tcBorders>
              <w:top w:val="nil"/>
              <w:left w:val="nil"/>
              <w:bottom w:val="nil"/>
              <w:right w:val="nil"/>
            </w:tcBorders>
            <w:vAlign w:val="center"/>
            <w:hideMark/>
          </w:tcPr>
          <w:p w:rsidR="009B7867" w:rsidRPr="00210BD3" w:rsidRDefault="009B7867" w:rsidP="007137CC">
            <w:pPr>
              <w:spacing w:after="0" w:line="240" w:lineRule="auto"/>
              <w:rPr>
                <w:rFonts w:ascii="Times New Roman" w:eastAsia="Calibri" w:hAnsi="Times New Roman" w:cs="Times New Roman"/>
                <w:bCs/>
                <w:sz w:val="26"/>
                <w:szCs w:val="26"/>
              </w:rPr>
            </w:pPr>
          </w:p>
        </w:tc>
        <w:tc>
          <w:tcPr>
            <w:tcW w:w="500" w:type="pct"/>
            <w:vMerge/>
            <w:tcBorders>
              <w:top w:val="nil"/>
              <w:left w:val="nil"/>
              <w:bottom w:val="nil"/>
              <w:right w:val="nil"/>
            </w:tcBorders>
            <w:vAlign w:val="center"/>
            <w:hideMark/>
          </w:tcPr>
          <w:p w:rsidR="009B7867" w:rsidRPr="00210BD3" w:rsidRDefault="009B7867" w:rsidP="007137CC">
            <w:pPr>
              <w:spacing w:after="0" w:line="240" w:lineRule="auto"/>
              <w:rPr>
                <w:rFonts w:ascii="Times New Roman" w:eastAsia="Calibri" w:hAnsi="Times New Roman" w:cs="Times New Roman"/>
                <w:bCs/>
                <w:sz w:val="26"/>
                <w:szCs w:val="26"/>
              </w:rPr>
            </w:pPr>
          </w:p>
        </w:tc>
        <w:tc>
          <w:tcPr>
            <w:tcW w:w="500" w:type="pct"/>
            <w:vMerge/>
            <w:tcBorders>
              <w:top w:val="nil"/>
              <w:left w:val="nil"/>
              <w:bottom w:val="nil"/>
              <w:right w:val="nil"/>
            </w:tcBorders>
            <w:vAlign w:val="center"/>
            <w:hideMark/>
          </w:tcPr>
          <w:p w:rsidR="009B7867" w:rsidRPr="00210BD3" w:rsidRDefault="009B7867" w:rsidP="007137CC">
            <w:pPr>
              <w:spacing w:after="0" w:line="240" w:lineRule="auto"/>
              <w:rPr>
                <w:rFonts w:ascii="Times New Roman" w:eastAsia="Calibri" w:hAnsi="Times New Roman" w:cs="Times New Roman"/>
                <w:bCs/>
                <w:sz w:val="26"/>
                <w:szCs w:val="26"/>
              </w:rPr>
            </w:pPr>
          </w:p>
        </w:tc>
        <w:tc>
          <w:tcPr>
            <w:tcW w:w="428" w:type="pct"/>
            <w:vMerge/>
            <w:tcBorders>
              <w:top w:val="nil"/>
              <w:left w:val="nil"/>
              <w:bottom w:val="nil"/>
              <w:right w:val="nil"/>
            </w:tcBorders>
            <w:vAlign w:val="center"/>
            <w:hideMark/>
          </w:tcPr>
          <w:p w:rsidR="009B7867" w:rsidRPr="00210BD3" w:rsidRDefault="009B7867" w:rsidP="007137CC">
            <w:pPr>
              <w:spacing w:after="0" w:line="240" w:lineRule="auto"/>
              <w:rPr>
                <w:rFonts w:ascii="Times New Roman" w:eastAsia="Calibri" w:hAnsi="Times New Roman" w:cs="Times New Roman"/>
                <w:bCs/>
                <w:sz w:val="26"/>
                <w:szCs w:val="26"/>
              </w:rPr>
            </w:pPr>
          </w:p>
        </w:tc>
      </w:tr>
    </w:tbl>
    <w:p w:rsidR="000A6BFC" w:rsidRPr="00210BD3" w:rsidRDefault="000A6BFC" w:rsidP="007137CC">
      <w:pPr>
        <w:spacing w:after="0" w:line="240" w:lineRule="auto"/>
        <w:jc w:val="both"/>
        <w:rPr>
          <w:rFonts w:ascii="Times New Roman" w:eastAsia="Times New Roman" w:hAnsi="Times New Roman" w:cs="Times New Roman"/>
          <w:bCs/>
          <w:sz w:val="26"/>
          <w:szCs w:val="26"/>
        </w:rPr>
      </w:pPr>
      <w:r w:rsidRPr="00210BD3">
        <w:rPr>
          <w:rFonts w:ascii="Times New Roman" w:hAnsi="Times New Roman" w:cs="Times New Roman"/>
          <w:bCs/>
          <w:sz w:val="26"/>
          <w:szCs w:val="26"/>
        </w:rPr>
        <w:t xml:space="preserve"> n = sample size, SD = Standard Deviation score, T =  t-value or t-score, DF = Degree of Freedom, Sig. = Significance, NS = No Significance</w:t>
      </w:r>
    </w:p>
    <w:p w:rsidR="002250C6" w:rsidRPr="00210BD3" w:rsidRDefault="002250C6" w:rsidP="007137CC">
      <w:pPr>
        <w:spacing w:after="0" w:line="240" w:lineRule="auto"/>
        <w:jc w:val="both"/>
        <w:rPr>
          <w:rFonts w:ascii="Times New Roman" w:eastAsia="Calibri" w:hAnsi="Times New Roman" w:cs="Times New Roman"/>
          <w:b/>
          <w:sz w:val="26"/>
          <w:szCs w:val="26"/>
        </w:rPr>
      </w:pPr>
    </w:p>
    <w:p w:rsidR="002250C6" w:rsidRPr="00210BD3" w:rsidRDefault="002250C6"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Data in Table 3 showed that the calculated t-value of </w:t>
      </w:r>
      <w:r w:rsidRPr="00210BD3">
        <w:rPr>
          <w:rFonts w:ascii="Times New Roman" w:eastAsia="Calibri" w:hAnsi="Times New Roman" w:cs="Times New Roman"/>
          <w:bCs/>
          <w:sz w:val="26"/>
          <w:szCs w:val="26"/>
        </w:rPr>
        <w:t xml:space="preserve">-469 </w:t>
      </w:r>
      <w:r w:rsidRPr="00210BD3">
        <w:rPr>
          <w:rFonts w:ascii="Times New Roman" w:eastAsia="Calibri" w:hAnsi="Times New Roman" w:cs="Times New Roman"/>
          <w:sz w:val="26"/>
          <w:szCs w:val="26"/>
        </w:rPr>
        <w:t xml:space="preserve">was not significant (p = </w:t>
      </w:r>
      <w:r w:rsidRPr="00210BD3">
        <w:rPr>
          <w:rFonts w:ascii="Times New Roman" w:eastAsia="Calibri" w:hAnsi="Times New Roman" w:cs="Times New Roman"/>
          <w:bCs/>
          <w:sz w:val="26"/>
          <w:szCs w:val="26"/>
        </w:rPr>
        <w:t xml:space="preserve">0.645) </w:t>
      </w:r>
      <w:r w:rsidRPr="00210BD3">
        <w:rPr>
          <w:rFonts w:ascii="Times New Roman" w:eastAsia="Calibri" w:hAnsi="Times New Roman" w:cs="Times New Roman"/>
          <w:sz w:val="26"/>
          <w:szCs w:val="26"/>
        </w:rPr>
        <w:t>being gr</w:t>
      </w:r>
      <w:r w:rsidR="000A6BFC" w:rsidRPr="00210BD3">
        <w:rPr>
          <w:rFonts w:ascii="Times New Roman" w:eastAsia="Calibri" w:hAnsi="Times New Roman" w:cs="Times New Roman"/>
          <w:sz w:val="26"/>
          <w:szCs w:val="26"/>
        </w:rPr>
        <w:t xml:space="preserve">eater than the chosen levels of </w:t>
      </w:r>
      <w:r w:rsidRPr="00210BD3">
        <w:rPr>
          <w:rFonts w:ascii="Times New Roman" w:eastAsia="Calibri" w:hAnsi="Times New Roman" w:cs="Times New Roman"/>
          <w:sz w:val="26"/>
          <w:szCs w:val="26"/>
        </w:rPr>
        <w:t>.05. Therefore, there is no significant difference between the mean rating of male and female farmers’ opinions on the impact of food and nutrition knowledge on the sustainable management of family resources.</w:t>
      </w:r>
    </w:p>
    <w:p w:rsidR="00A76D9F" w:rsidRPr="00210BD3" w:rsidRDefault="00A76D9F" w:rsidP="007137CC">
      <w:pPr>
        <w:spacing w:after="0" w:line="240" w:lineRule="auto"/>
        <w:jc w:val="both"/>
        <w:rPr>
          <w:rFonts w:ascii="Times New Roman" w:eastAsia="Calibri" w:hAnsi="Times New Roman" w:cs="Times New Roman"/>
          <w:sz w:val="26"/>
          <w:szCs w:val="26"/>
        </w:rPr>
      </w:pPr>
    </w:p>
    <w:p w:rsidR="002250C6" w:rsidRPr="00210BD3" w:rsidRDefault="00125DCE" w:rsidP="007137CC">
      <w:pPr>
        <w:spacing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Null hypothesis two</w:t>
      </w:r>
    </w:p>
    <w:p w:rsidR="002250C6" w:rsidRPr="00210BD3" w:rsidRDefault="002250C6" w:rsidP="007137CC">
      <w:pPr>
        <w:spacing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There is no significant difference between the mean rating of male and female farmers' opinions on the challenges of sustainable management of family resources.</w:t>
      </w:r>
    </w:p>
    <w:p w:rsidR="00235A02" w:rsidRPr="00210BD3" w:rsidRDefault="00235A02" w:rsidP="007137CC">
      <w:pPr>
        <w:spacing w:after="0" w:line="240" w:lineRule="auto"/>
        <w:rPr>
          <w:rFonts w:ascii="Times New Roman" w:eastAsia="Calibri" w:hAnsi="Times New Roman" w:cs="Times New Roman"/>
          <w:sz w:val="26"/>
          <w:szCs w:val="26"/>
        </w:rPr>
      </w:pPr>
    </w:p>
    <w:p w:rsidR="006F3C0B" w:rsidRPr="00210BD3" w:rsidRDefault="006F3C0B" w:rsidP="007137CC">
      <w:pPr>
        <w:spacing w:after="0" w:line="240" w:lineRule="auto"/>
        <w:rPr>
          <w:rFonts w:ascii="Times New Roman" w:eastAsia="Calibri" w:hAnsi="Times New Roman" w:cs="Times New Roman"/>
          <w:sz w:val="26"/>
          <w:szCs w:val="26"/>
        </w:rPr>
      </w:pPr>
      <w:r w:rsidRPr="00210BD3">
        <w:rPr>
          <w:rFonts w:ascii="Times New Roman" w:eastAsia="Calibri" w:hAnsi="Times New Roman" w:cs="Times New Roman"/>
          <w:sz w:val="26"/>
          <w:szCs w:val="26"/>
        </w:rPr>
        <w:t>Details of result for test of null hypothesis two is presented in Table 4.</w:t>
      </w:r>
    </w:p>
    <w:p w:rsidR="00235A02" w:rsidRPr="00210BD3" w:rsidRDefault="00235A02" w:rsidP="007137CC">
      <w:pPr>
        <w:spacing w:after="0" w:line="240" w:lineRule="auto"/>
        <w:rPr>
          <w:rFonts w:ascii="Times New Roman" w:eastAsia="Calibri" w:hAnsi="Times New Roman" w:cs="Times New Roman"/>
          <w:sz w:val="26"/>
          <w:szCs w:val="26"/>
        </w:rPr>
      </w:pPr>
    </w:p>
    <w:p w:rsidR="006F3C0B" w:rsidRPr="00210BD3" w:rsidRDefault="006F3C0B" w:rsidP="007137CC">
      <w:pPr>
        <w:spacing w:after="0" w:line="240" w:lineRule="auto"/>
        <w:rPr>
          <w:rFonts w:ascii="Times New Roman" w:eastAsia="Times New Roman" w:hAnsi="Times New Roman" w:cs="Times New Roman"/>
          <w:bCs/>
          <w:sz w:val="26"/>
          <w:szCs w:val="26"/>
        </w:rPr>
      </w:pPr>
      <w:r w:rsidRPr="00210BD3">
        <w:rPr>
          <w:rFonts w:ascii="Times New Roman" w:eastAsia="Calibri" w:hAnsi="Times New Roman" w:cs="Times New Roman"/>
          <w:sz w:val="26"/>
          <w:szCs w:val="26"/>
        </w:rPr>
        <w:t>Table 4: The mean rating of male and female farmers on the challenges of sustainable management of family resources</w:t>
      </w:r>
    </w:p>
    <w:tbl>
      <w:tblPr>
        <w:tblW w:w="9747" w:type="dxa"/>
        <w:tblBorders>
          <w:top w:val="single" w:sz="4" w:space="0" w:color="000000"/>
          <w:bottom w:val="single" w:sz="4" w:space="0" w:color="000000"/>
        </w:tblBorders>
        <w:tblLayout w:type="fixed"/>
        <w:tblLook w:val="04A0"/>
      </w:tblPr>
      <w:tblGrid>
        <w:gridCol w:w="392"/>
        <w:gridCol w:w="1276"/>
        <w:gridCol w:w="708"/>
        <w:gridCol w:w="993"/>
        <w:gridCol w:w="1134"/>
        <w:gridCol w:w="1417"/>
        <w:gridCol w:w="851"/>
        <w:gridCol w:w="850"/>
        <w:gridCol w:w="992"/>
        <w:gridCol w:w="1134"/>
      </w:tblGrid>
      <w:tr w:rsidR="006F3C0B" w:rsidRPr="00210BD3" w:rsidTr="006F3C0B">
        <w:tc>
          <w:tcPr>
            <w:tcW w:w="392" w:type="dxa"/>
            <w:vMerge w:val="restart"/>
            <w:tcBorders>
              <w:top w:val="single" w:sz="4" w:space="0" w:color="000000"/>
              <w:left w:val="nil"/>
              <w:bottom w:val="nil"/>
              <w:right w:val="nil"/>
            </w:tcBorders>
          </w:tcPr>
          <w:p w:rsidR="006F3C0B" w:rsidRPr="00210BD3" w:rsidRDefault="006F3C0B" w:rsidP="007137CC">
            <w:pPr>
              <w:spacing w:after="0" w:line="240" w:lineRule="auto"/>
              <w:jc w:val="both"/>
              <w:rPr>
                <w:rFonts w:ascii="Times New Roman" w:eastAsia="Calibri" w:hAnsi="Times New Roman" w:cs="Times New Roman"/>
                <w:b/>
                <w:bCs/>
                <w:sz w:val="26"/>
                <w:szCs w:val="26"/>
              </w:rPr>
            </w:pPr>
          </w:p>
          <w:p w:rsidR="006F3C0B" w:rsidRPr="00210BD3" w:rsidRDefault="006F3C0B" w:rsidP="007137CC">
            <w:pPr>
              <w:spacing w:beforeAutospacing="1"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
                <w:noProof/>
                <w:sz w:val="26"/>
                <w:szCs w:val="26"/>
                <w:lang w:val="en-US" w:eastAsia="en-US"/>
              </w:rPr>
              <w:drawing>
                <wp:inline distT="0" distB="0" distL="0" distR="0">
                  <wp:extent cx="5720080" cy="10795"/>
                  <wp:effectExtent l="19050" t="0" r="0" b="0"/>
                  <wp:docPr id="6" name="Picture 3" descr="C:\Users\PSTDRE~1.OKO\AppData\Local\Temp\ksohtml1021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DRE~1.OKO\AppData\Local\Temp\ksohtml10212\wps3.png"/>
                          <pic:cNvPicPr>
                            <a:picLocks noChangeAspect="1" noChangeArrowheads="1"/>
                          </pic:cNvPicPr>
                        </pic:nvPicPr>
                        <pic:blipFill>
                          <a:blip r:embed="rId17"/>
                          <a:srcRect/>
                          <a:stretch>
                            <a:fillRect/>
                          </a:stretch>
                        </pic:blipFill>
                        <pic:spPr bwMode="auto">
                          <a:xfrm>
                            <a:off x="0" y="0"/>
                            <a:ext cx="5720080" cy="10795"/>
                          </a:xfrm>
                          <a:prstGeom prst="rect">
                            <a:avLst/>
                          </a:prstGeom>
                          <a:noFill/>
                          <a:ln w="9525">
                            <a:noFill/>
                            <a:miter lim="800000"/>
                            <a:headEnd/>
                            <a:tailEnd/>
                          </a:ln>
                        </pic:spPr>
                      </pic:pic>
                    </a:graphicData>
                  </a:graphic>
                </wp:inline>
              </w:drawing>
            </w:r>
          </w:p>
        </w:tc>
        <w:tc>
          <w:tcPr>
            <w:tcW w:w="1276"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Variables</w:t>
            </w:r>
          </w:p>
        </w:tc>
        <w:tc>
          <w:tcPr>
            <w:tcW w:w="708"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 N</w:t>
            </w:r>
          </w:p>
        </w:tc>
        <w:tc>
          <w:tcPr>
            <w:tcW w:w="993"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Mean </w:t>
            </w:r>
          </w:p>
        </w:tc>
        <w:tc>
          <w:tcPr>
            <w:tcW w:w="1134"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SD</w:t>
            </w:r>
          </w:p>
        </w:tc>
        <w:tc>
          <w:tcPr>
            <w:tcW w:w="1417"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t</w:t>
            </w:r>
          </w:p>
        </w:tc>
        <w:tc>
          <w:tcPr>
            <w:tcW w:w="851" w:type="dxa"/>
            <w:tcBorders>
              <w:top w:val="single" w:sz="4" w:space="0" w:color="000000"/>
              <w:left w:val="nil"/>
              <w:bottom w:val="nil"/>
              <w:right w:val="nil"/>
            </w:tcBorders>
            <w:hideMark/>
          </w:tcPr>
          <w:p w:rsidR="006F3C0B" w:rsidRPr="00210BD3" w:rsidRDefault="005A49B5"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D</w:t>
            </w:r>
            <w:r w:rsidR="006F3C0B" w:rsidRPr="00210BD3">
              <w:rPr>
                <w:rFonts w:ascii="Times New Roman" w:eastAsia="Calibri" w:hAnsi="Times New Roman" w:cs="Times New Roman"/>
                <w:bCs/>
                <w:sz w:val="26"/>
                <w:szCs w:val="26"/>
              </w:rPr>
              <w:t>f</w:t>
            </w:r>
          </w:p>
        </w:tc>
        <w:tc>
          <w:tcPr>
            <w:tcW w:w="850"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Sig.(2-tailed)</w:t>
            </w:r>
          </w:p>
        </w:tc>
        <w:tc>
          <w:tcPr>
            <w:tcW w:w="992"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Level of Sig.              </w:t>
            </w:r>
          </w:p>
        </w:tc>
        <w:tc>
          <w:tcPr>
            <w:tcW w:w="1134" w:type="dxa"/>
            <w:tcBorders>
              <w:top w:val="single" w:sz="4" w:space="0" w:color="000000"/>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Decision </w:t>
            </w:r>
          </w:p>
        </w:tc>
      </w:tr>
      <w:tr w:rsidR="006F3C0B" w:rsidRPr="00210BD3" w:rsidTr="006F3C0B">
        <w:trPr>
          <w:trHeight w:val="276"/>
        </w:trPr>
        <w:tc>
          <w:tcPr>
            <w:tcW w:w="392" w:type="dxa"/>
            <w:vMerge/>
            <w:tcBorders>
              <w:top w:val="single" w:sz="4" w:space="0" w:color="000000"/>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
                <w:bCs/>
                <w:sz w:val="26"/>
                <w:szCs w:val="26"/>
              </w:rPr>
            </w:pPr>
          </w:p>
        </w:tc>
        <w:tc>
          <w:tcPr>
            <w:tcW w:w="1276" w:type="dxa"/>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Male </w:t>
            </w:r>
          </w:p>
        </w:tc>
        <w:tc>
          <w:tcPr>
            <w:tcW w:w="708" w:type="dxa"/>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66</w:t>
            </w:r>
          </w:p>
        </w:tc>
        <w:tc>
          <w:tcPr>
            <w:tcW w:w="993" w:type="dxa"/>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3.1192</w:t>
            </w:r>
          </w:p>
        </w:tc>
        <w:tc>
          <w:tcPr>
            <w:tcW w:w="1134" w:type="dxa"/>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0.53644</w:t>
            </w:r>
          </w:p>
        </w:tc>
        <w:tc>
          <w:tcPr>
            <w:tcW w:w="1417" w:type="dxa"/>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.613</w:t>
            </w:r>
          </w:p>
        </w:tc>
        <w:tc>
          <w:tcPr>
            <w:tcW w:w="851" w:type="dxa"/>
            <w:vMerge w:val="restart"/>
            <w:tcBorders>
              <w:top w:val="nil"/>
              <w:left w:val="nil"/>
              <w:bottom w:val="nil"/>
              <w:right w:val="nil"/>
            </w:tcBorders>
          </w:tcPr>
          <w:p w:rsidR="006F3C0B" w:rsidRPr="00210BD3" w:rsidRDefault="006F3C0B" w:rsidP="007137CC">
            <w:pPr>
              <w:spacing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298</w:t>
            </w:r>
          </w:p>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p>
        </w:tc>
        <w:tc>
          <w:tcPr>
            <w:tcW w:w="850" w:type="dxa"/>
            <w:vMerge w:val="restart"/>
            <w:tcBorders>
              <w:top w:val="nil"/>
              <w:left w:val="nil"/>
              <w:bottom w:val="nil"/>
              <w:right w:val="nil"/>
            </w:tcBorders>
          </w:tcPr>
          <w:p w:rsidR="006F3C0B" w:rsidRPr="00210BD3" w:rsidRDefault="006F3C0B" w:rsidP="007137CC">
            <w:pPr>
              <w:spacing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0.541</w:t>
            </w:r>
          </w:p>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p>
        </w:tc>
        <w:tc>
          <w:tcPr>
            <w:tcW w:w="992" w:type="dxa"/>
            <w:vMerge w:val="restart"/>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0.05</w:t>
            </w:r>
          </w:p>
        </w:tc>
        <w:tc>
          <w:tcPr>
            <w:tcW w:w="1134" w:type="dxa"/>
            <w:vMerge w:val="restart"/>
            <w:tcBorders>
              <w:top w:val="nil"/>
              <w:left w:val="nil"/>
              <w:bottom w:val="nil"/>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 xml:space="preserve">  NS</w:t>
            </w:r>
          </w:p>
        </w:tc>
      </w:tr>
      <w:tr w:rsidR="006F3C0B" w:rsidRPr="00210BD3" w:rsidTr="006F3C0B">
        <w:trPr>
          <w:trHeight w:val="276"/>
        </w:trPr>
        <w:tc>
          <w:tcPr>
            <w:tcW w:w="392" w:type="dxa"/>
            <w:vMerge/>
            <w:tcBorders>
              <w:top w:val="single" w:sz="4" w:space="0" w:color="000000"/>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
                <w:bCs/>
                <w:sz w:val="26"/>
                <w:szCs w:val="26"/>
              </w:rPr>
            </w:pPr>
          </w:p>
        </w:tc>
        <w:tc>
          <w:tcPr>
            <w:tcW w:w="1276" w:type="dxa"/>
            <w:tcBorders>
              <w:top w:val="nil"/>
              <w:left w:val="nil"/>
              <w:bottom w:val="single" w:sz="4" w:space="0" w:color="000000"/>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Female</w:t>
            </w:r>
          </w:p>
        </w:tc>
        <w:tc>
          <w:tcPr>
            <w:tcW w:w="708" w:type="dxa"/>
            <w:tcBorders>
              <w:top w:val="nil"/>
              <w:left w:val="nil"/>
              <w:bottom w:val="single" w:sz="4" w:space="0" w:color="000000"/>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21</w:t>
            </w:r>
          </w:p>
        </w:tc>
        <w:tc>
          <w:tcPr>
            <w:tcW w:w="993" w:type="dxa"/>
            <w:tcBorders>
              <w:top w:val="nil"/>
              <w:left w:val="nil"/>
              <w:bottom w:val="single" w:sz="4" w:space="0" w:color="000000"/>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3.0787</w:t>
            </w:r>
          </w:p>
        </w:tc>
        <w:tc>
          <w:tcPr>
            <w:tcW w:w="1134" w:type="dxa"/>
            <w:tcBorders>
              <w:top w:val="nil"/>
              <w:left w:val="nil"/>
              <w:bottom w:val="single" w:sz="4" w:space="0" w:color="000000"/>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0.40745</w:t>
            </w:r>
          </w:p>
        </w:tc>
        <w:tc>
          <w:tcPr>
            <w:tcW w:w="1417" w:type="dxa"/>
            <w:tcBorders>
              <w:top w:val="nil"/>
              <w:left w:val="nil"/>
              <w:bottom w:val="single" w:sz="4" w:space="0" w:color="000000"/>
              <w:right w:val="nil"/>
            </w:tcBorders>
            <w:hideMark/>
          </w:tcPr>
          <w:p w:rsidR="006F3C0B" w:rsidRPr="00210BD3" w:rsidRDefault="006F3C0B" w:rsidP="007137CC">
            <w:pPr>
              <w:spacing w:before="100" w:beforeAutospacing="1" w:after="0" w:line="240" w:lineRule="auto"/>
              <w:jc w:val="both"/>
              <w:rPr>
                <w:rFonts w:ascii="Times New Roman" w:eastAsia="Calibri" w:hAnsi="Times New Roman" w:cs="Times New Roman"/>
                <w:bCs/>
                <w:sz w:val="26"/>
                <w:szCs w:val="26"/>
              </w:rPr>
            </w:pPr>
            <w:r w:rsidRPr="00210BD3">
              <w:rPr>
                <w:rFonts w:ascii="Times New Roman" w:eastAsia="Calibri" w:hAnsi="Times New Roman" w:cs="Times New Roman"/>
                <w:bCs/>
                <w:sz w:val="26"/>
                <w:szCs w:val="26"/>
              </w:rPr>
              <w:t>.654</w:t>
            </w:r>
          </w:p>
        </w:tc>
        <w:tc>
          <w:tcPr>
            <w:tcW w:w="851" w:type="dxa"/>
            <w:vMerge/>
            <w:tcBorders>
              <w:top w:val="nil"/>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Cs/>
                <w:sz w:val="26"/>
                <w:szCs w:val="26"/>
              </w:rPr>
            </w:pPr>
          </w:p>
        </w:tc>
        <w:tc>
          <w:tcPr>
            <w:tcW w:w="850" w:type="dxa"/>
            <w:vMerge/>
            <w:tcBorders>
              <w:top w:val="nil"/>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Cs/>
                <w:sz w:val="26"/>
                <w:szCs w:val="26"/>
              </w:rPr>
            </w:pPr>
          </w:p>
        </w:tc>
        <w:tc>
          <w:tcPr>
            <w:tcW w:w="992" w:type="dxa"/>
            <w:vMerge/>
            <w:tcBorders>
              <w:top w:val="nil"/>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Cs/>
                <w:sz w:val="26"/>
                <w:szCs w:val="26"/>
              </w:rPr>
            </w:pPr>
          </w:p>
        </w:tc>
        <w:tc>
          <w:tcPr>
            <w:tcW w:w="1134" w:type="dxa"/>
            <w:vMerge/>
            <w:tcBorders>
              <w:top w:val="nil"/>
              <w:left w:val="nil"/>
              <w:bottom w:val="nil"/>
              <w:right w:val="nil"/>
            </w:tcBorders>
            <w:vAlign w:val="center"/>
            <w:hideMark/>
          </w:tcPr>
          <w:p w:rsidR="006F3C0B" w:rsidRPr="00210BD3" w:rsidRDefault="006F3C0B" w:rsidP="007137CC">
            <w:pPr>
              <w:spacing w:after="0" w:line="240" w:lineRule="auto"/>
              <w:rPr>
                <w:rFonts w:ascii="Times New Roman" w:eastAsia="Calibri" w:hAnsi="Times New Roman" w:cs="Times New Roman"/>
                <w:bCs/>
                <w:sz w:val="26"/>
                <w:szCs w:val="26"/>
              </w:rPr>
            </w:pPr>
          </w:p>
        </w:tc>
      </w:tr>
    </w:tbl>
    <w:p w:rsidR="00960639" w:rsidRDefault="00960639" w:rsidP="007137CC">
      <w:pPr>
        <w:spacing w:after="0" w:line="240" w:lineRule="auto"/>
        <w:jc w:val="both"/>
        <w:rPr>
          <w:rFonts w:ascii="Times New Roman" w:hAnsi="Times New Roman" w:cs="Times New Roman"/>
          <w:bCs/>
          <w:sz w:val="26"/>
          <w:szCs w:val="26"/>
        </w:rPr>
      </w:pPr>
    </w:p>
    <w:p w:rsidR="002250C6" w:rsidRPr="00210BD3" w:rsidRDefault="006F3C0B" w:rsidP="007137CC">
      <w:pPr>
        <w:spacing w:after="0" w:line="240" w:lineRule="auto"/>
        <w:jc w:val="both"/>
        <w:rPr>
          <w:rFonts w:ascii="Times New Roman" w:hAnsi="Times New Roman" w:cs="Times New Roman"/>
          <w:bCs/>
          <w:sz w:val="26"/>
          <w:szCs w:val="26"/>
        </w:rPr>
      </w:pPr>
      <w:r w:rsidRPr="00210BD3">
        <w:rPr>
          <w:rFonts w:ascii="Times New Roman" w:hAnsi="Times New Roman" w:cs="Times New Roman"/>
          <w:bCs/>
          <w:sz w:val="26"/>
          <w:szCs w:val="26"/>
        </w:rPr>
        <w:t>n = sample size, SD =</w:t>
      </w:r>
      <w:r w:rsidR="008A69A0" w:rsidRPr="00210BD3">
        <w:rPr>
          <w:rFonts w:ascii="Times New Roman" w:hAnsi="Times New Roman" w:cs="Times New Roman"/>
          <w:bCs/>
          <w:sz w:val="26"/>
          <w:szCs w:val="26"/>
        </w:rPr>
        <w:t xml:space="preserve"> Standard Deviation score, T = </w:t>
      </w:r>
      <w:r w:rsidRPr="00210BD3">
        <w:rPr>
          <w:rFonts w:ascii="Times New Roman" w:hAnsi="Times New Roman" w:cs="Times New Roman"/>
          <w:bCs/>
          <w:sz w:val="26"/>
          <w:szCs w:val="26"/>
        </w:rPr>
        <w:t>t-value or t-score, DF = Degree of Freedom, Sig. = Significance, NS = No Significance</w:t>
      </w:r>
    </w:p>
    <w:p w:rsidR="008A69A0" w:rsidRPr="00210BD3" w:rsidRDefault="008A69A0" w:rsidP="007137CC">
      <w:pPr>
        <w:spacing w:after="0" w:line="240" w:lineRule="auto"/>
        <w:jc w:val="both"/>
        <w:rPr>
          <w:rFonts w:ascii="Times New Roman" w:hAnsi="Times New Roman" w:cs="Times New Roman"/>
          <w:bCs/>
          <w:sz w:val="26"/>
          <w:szCs w:val="26"/>
        </w:rPr>
      </w:pPr>
    </w:p>
    <w:p w:rsidR="002250C6" w:rsidRPr="00210BD3" w:rsidRDefault="002250C6" w:rsidP="007137CC">
      <w:pPr>
        <w:spacing w:after="0" w:line="240" w:lineRule="auto"/>
        <w:jc w:val="both"/>
        <w:rPr>
          <w:rFonts w:ascii="Times New Roman" w:eastAsia="Times New Roman" w:hAnsi="Times New Roman" w:cs="Times New Roman"/>
          <w:bCs/>
          <w:sz w:val="26"/>
          <w:szCs w:val="26"/>
        </w:rPr>
      </w:pPr>
      <w:r w:rsidRPr="00210BD3">
        <w:rPr>
          <w:rFonts w:ascii="Times New Roman" w:eastAsia="Calibri" w:hAnsi="Times New Roman" w:cs="Times New Roman"/>
          <w:sz w:val="26"/>
          <w:szCs w:val="26"/>
        </w:rPr>
        <w:t xml:space="preserve">Data in Table 4 showed that the calculated t-value of </w:t>
      </w:r>
      <w:r w:rsidRPr="00210BD3">
        <w:rPr>
          <w:rFonts w:ascii="Times New Roman" w:eastAsia="Calibri" w:hAnsi="Times New Roman" w:cs="Times New Roman"/>
          <w:bCs/>
          <w:sz w:val="26"/>
          <w:szCs w:val="26"/>
        </w:rPr>
        <w:t xml:space="preserve">0.613 </w:t>
      </w:r>
      <w:r w:rsidRPr="00210BD3">
        <w:rPr>
          <w:rFonts w:ascii="Times New Roman" w:eastAsia="Calibri" w:hAnsi="Times New Roman" w:cs="Times New Roman"/>
          <w:sz w:val="26"/>
          <w:szCs w:val="26"/>
        </w:rPr>
        <w:t xml:space="preserve">was not significant at p = </w:t>
      </w:r>
      <w:r w:rsidRPr="00210BD3">
        <w:rPr>
          <w:rFonts w:ascii="Times New Roman" w:eastAsia="Calibri" w:hAnsi="Times New Roman" w:cs="Times New Roman"/>
          <w:bCs/>
          <w:sz w:val="26"/>
          <w:szCs w:val="26"/>
        </w:rPr>
        <w:t xml:space="preserve">0.541 </w:t>
      </w:r>
      <w:r w:rsidRPr="00210BD3">
        <w:rPr>
          <w:rFonts w:ascii="Times New Roman" w:eastAsia="Calibri" w:hAnsi="Times New Roman" w:cs="Times New Roman"/>
          <w:sz w:val="26"/>
          <w:szCs w:val="26"/>
        </w:rPr>
        <w:t>which is greater than the chosen level of 0.05. Therefore, there is no significant difference between the mean rating of male and female farmers on the challenges of sustainable management of family resources.</w:t>
      </w:r>
    </w:p>
    <w:p w:rsidR="002250C6" w:rsidRPr="00210BD3" w:rsidRDefault="002250C6" w:rsidP="007137CC">
      <w:pPr>
        <w:spacing w:after="0" w:line="240" w:lineRule="auto"/>
        <w:jc w:val="both"/>
        <w:rPr>
          <w:rFonts w:ascii="Times New Roman" w:eastAsia="Calibri" w:hAnsi="Times New Roman" w:cs="Times New Roman"/>
          <w:b/>
          <w:sz w:val="26"/>
          <w:szCs w:val="26"/>
        </w:rPr>
      </w:pPr>
    </w:p>
    <w:p w:rsidR="00960639" w:rsidRDefault="00960639" w:rsidP="007137CC">
      <w:pPr>
        <w:spacing w:after="0" w:line="240" w:lineRule="auto"/>
        <w:jc w:val="both"/>
        <w:rPr>
          <w:rFonts w:ascii="Times New Roman" w:hAnsi="Times New Roman" w:cs="Times New Roman"/>
          <w:b/>
          <w:sz w:val="26"/>
          <w:szCs w:val="26"/>
        </w:rPr>
        <w:sectPr w:rsidR="00960639" w:rsidSect="00210BD3">
          <w:type w:val="continuous"/>
          <w:pgSz w:w="12240" w:h="15840" w:code="1"/>
          <w:pgMar w:top="1440" w:right="1440" w:bottom="1440" w:left="1440" w:header="706" w:footer="706" w:gutter="0"/>
          <w:cols w:space="708"/>
          <w:docGrid w:linePitch="360"/>
        </w:sectPr>
      </w:pPr>
    </w:p>
    <w:p w:rsidR="002250C6" w:rsidRPr="00210BD3" w:rsidRDefault="002250C6" w:rsidP="007137CC">
      <w:pPr>
        <w:spacing w:after="0" w:line="240" w:lineRule="auto"/>
        <w:jc w:val="both"/>
        <w:rPr>
          <w:rFonts w:ascii="Times New Roman" w:eastAsia="Times New Roman" w:hAnsi="Times New Roman" w:cs="Times New Roman"/>
          <w:b/>
          <w:sz w:val="26"/>
          <w:szCs w:val="26"/>
        </w:rPr>
      </w:pPr>
      <w:r w:rsidRPr="00210BD3">
        <w:rPr>
          <w:rFonts w:ascii="Times New Roman" w:hAnsi="Times New Roman" w:cs="Times New Roman"/>
          <w:b/>
          <w:sz w:val="26"/>
          <w:szCs w:val="26"/>
        </w:rPr>
        <w:lastRenderedPageBreak/>
        <w:t>Discussion of Findings</w:t>
      </w:r>
    </w:p>
    <w:p w:rsidR="009127B6" w:rsidRPr="00210BD3" w:rsidRDefault="002250C6" w:rsidP="007137CC">
      <w:pPr>
        <w:spacing w:after="0" w:line="240" w:lineRule="auto"/>
        <w:ind w:firstLine="720"/>
        <w:jc w:val="both"/>
        <w:rPr>
          <w:rFonts w:ascii="Times New Roman" w:eastAsia="Calibri" w:hAnsi="Times New Roman" w:cs="Times New Roman"/>
          <w:sz w:val="26"/>
          <w:szCs w:val="26"/>
        </w:rPr>
      </w:pPr>
      <w:r w:rsidRPr="00210BD3">
        <w:rPr>
          <w:rFonts w:ascii="Times New Roman" w:hAnsi="Times New Roman" w:cs="Times New Roman"/>
          <w:sz w:val="26"/>
          <w:szCs w:val="26"/>
        </w:rPr>
        <w:t>One of the findings of this study revealed</w:t>
      </w:r>
      <w:r w:rsidRPr="00210BD3">
        <w:rPr>
          <w:rFonts w:ascii="Times New Roman" w:eastAsia="Calibri" w:hAnsi="Times New Roman" w:cs="Times New Roman"/>
          <w:sz w:val="26"/>
          <w:szCs w:val="26"/>
        </w:rPr>
        <w:t xml:space="preserve"> that improvement in family healthcare, reduction in cost of sourcing family food, reduction in the spread of non-communicable diseases in the family, facilitation of alternative diets for family and improvement of family diet quality are the impacts of food and nutrition knowledge on sustainable management of family resources in </w:t>
      </w:r>
      <w:r w:rsidRPr="00210BD3">
        <w:rPr>
          <w:rFonts w:ascii="Times New Roman" w:hAnsi="Times New Roman" w:cs="Times New Roman"/>
          <w:iCs/>
          <w:sz w:val="26"/>
          <w:szCs w:val="26"/>
        </w:rPr>
        <w:t>Oshimili South Local Government Area</w:t>
      </w:r>
      <w:r w:rsidR="00AD0F66" w:rsidRPr="00210BD3">
        <w:rPr>
          <w:rFonts w:ascii="Times New Roman" w:eastAsia="Calibri" w:hAnsi="Times New Roman" w:cs="Times New Roman"/>
          <w:sz w:val="26"/>
          <w:szCs w:val="26"/>
        </w:rPr>
        <w:t>. T</w:t>
      </w:r>
      <w:r w:rsidR="009E2A1F" w:rsidRPr="00210BD3">
        <w:rPr>
          <w:rFonts w:ascii="Times New Roman" w:eastAsia="Calibri" w:hAnsi="Times New Roman" w:cs="Times New Roman"/>
          <w:sz w:val="26"/>
          <w:szCs w:val="26"/>
        </w:rPr>
        <w:t>he difference in</w:t>
      </w:r>
      <w:r w:rsidRPr="00210BD3">
        <w:rPr>
          <w:rFonts w:ascii="Times New Roman" w:eastAsia="Calibri" w:hAnsi="Times New Roman" w:cs="Times New Roman"/>
          <w:sz w:val="26"/>
          <w:szCs w:val="26"/>
        </w:rPr>
        <w:t xml:space="preserve"> mean rating of </w:t>
      </w:r>
      <w:r w:rsidR="009C1BE7" w:rsidRPr="00210BD3">
        <w:rPr>
          <w:rFonts w:ascii="Times New Roman" w:eastAsia="Calibri" w:hAnsi="Times New Roman" w:cs="Times New Roman"/>
          <w:sz w:val="26"/>
          <w:szCs w:val="26"/>
        </w:rPr>
        <w:t>male</w:t>
      </w:r>
      <w:r w:rsidRPr="00210BD3">
        <w:rPr>
          <w:rFonts w:ascii="Times New Roman" w:eastAsia="Calibri" w:hAnsi="Times New Roman" w:cs="Times New Roman"/>
          <w:sz w:val="26"/>
          <w:szCs w:val="26"/>
        </w:rPr>
        <w:t xml:space="preserve"> and female farmers on the impact of food and nutrition knowledge on sustainable management of family resources in </w:t>
      </w:r>
      <w:r w:rsidRPr="00210BD3">
        <w:rPr>
          <w:rFonts w:ascii="Times New Roman" w:hAnsi="Times New Roman" w:cs="Times New Roman"/>
          <w:iCs/>
          <w:sz w:val="26"/>
          <w:szCs w:val="26"/>
        </w:rPr>
        <w:t>Oshimili South Local Government Area</w:t>
      </w:r>
      <w:r w:rsidRPr="00210BD3">
        <w:rPr>
          <w:rFonts w:ascii="Times New Roman" w:eastAsia="Calibri" w:hAnsi="Times New Roman" w:cs="Times New Roman"/>
          <w:sz w:val="26"/>
          <w:szCs w:val="26"/>
        </w:rPr>
        <w:t xml:space="preserve">is not significant. This finding consolidates </w:t>
      </w:r>
      <w:r w:rsidR="009E2A1F" w:rsidRPr="00210BD3">
        <w:rPr>
          <w:rFonts w:ascii="Times New Roman" w:eastAsia="Calibri" w:hAnsi="Times New Roman" w:cs="Times New Roman"/>
          <w:sz w:val="26"/>
          <w:szCs w:val="26"/>
        </w:rPr>
        <w:t>that finding</w:t>
      </w:r>
      <w:r w:rsidRPr="00210BD3">
        <w:rPr>
          <w:rFonts w:ascii="Times New Roman" w:eastAsia="Calibri" w:hAnsi="Times New Roman" w:cs="Times New Roman"/>
          <w:sz w:val="26"/>
          <w:szCs w:val="26"/>
        </w:rPr>
        <w:t xml:space="preserve"> of Chukwu (2014) that food and nutrition knowledge helps families to know the type of food </w:t>
      </w:r>
      <w:r w:rsidRPr="00210BD3">
        <w:rPr>
          <w:rFonts w:ascii="Times New Roman" w:eastAsia="Calibri" w:hAnsi="Times New Roman" w:cs="Times New Roman"/>
          <w:sz w:val="26"/>
          <w:szCs w:val="26"/>
        </w:rPr>
        <w:lastRenderedPageBreak/>
        <w:t>to consume in order to stay and live healthily.</w:t>
      </w:r>
    </w:p>
    <w:p w:rsidR="002250C6" w:rsidRPr="00210BD3" w:rsidRDefault="002250C6" w:rsidP="007137CC">
      <w:pPr>
        <w:spacing w:after="0" w:line="240" w:lineRule="auto"/>
        <w:ind w:firstLine="63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Furthermore, the findings of this present study revealed that illiteracy. Poverty, shortage of food supply, poor infrastructure to food supply and poor communication among farmers and the food market are challenges to sustainable management of family resources as perceived by the farmers</w:t>
      </w:r>
      <w:r w:rsidRPr="00210BD3">
        <w:rPr>
          <w:rFonts w:ascii="Times New Roman" w:hAnsi="Times New Roman" w:cs="Times New Roman"/>
          <w:bCs/>
          <w:sz w:val="26"/>
          <w:szCs w:val="26"/>
        </w:rPr>
        <w:t xml:space="preserve">, and, </w:t>
      </w:r>
      <w:r w:rsidRPr="00210BD3">
        <w:rPr>
          <w:rFonts w:ascii="Times New Roman" w:eastAsia="Calibri" w:hAnsi="Times New Roman" w:cs="Times New Roman"/>
          <w:sz w:val="26"/>
          <w:szCs w:val="26"/>
        </w:rPr>
        <w:t xml:space="preserve">the difference between the mean rating of male and female farmers on the challenges of sustainable management of family resources in </w:t>
      </w:r>
      <w:r w:rsidRPr="00210BD3">
        <w:rPr>
          <w:rFonts w:ascii="Times New Roman" w:hAnsi="Times New Roman" w:cs="Times New Roman"/>
          <w:iCs/>
          <w:sz w:val="26"/>
          <w:szCs w:val="26"/>
        </w:rPr>
        <w:t>Oshimili South Local Government Area is not significant</w:t>
      </w:r>
      <w:r w:rsidRPr="00210BD3">
        <w:rPr>
          <w:rFonts w:ascii="Times New Roman" w:hAnsi="Times New Roman" w:cs="Times New Roman"/>
          <w:bCs/>
          <w:sz w:val="26"/>
          <w:szCs w:val="26"/>
        </w:rPr>
        <w:t xml:space="preserve">. This finding is in consonance with the findings of </w:t>
      </w:r>
      <w:r w:rsidRPr="00210BD3">
        <w:rPr>
          <w:rFonts w:ascii="Times New Roman" w:eastAsia="Calibri" w:hAnsi="Times New Roman" w:cs="Times New Roman"/>
          <w:sz w:val="26"/>
          <w:szCs w:val="26"/>
        </w:rPr>
        <w:t xml:space="preserve">Ibikunle and Akintoye, (2019) that </w:t>
      </w:r>
      <w:r w:rsidRPr="00210BD3">
        <w:rPr>
          <w:rStyle w:val="18"/>
          <w:rFonts w:ascii="Times New Roman" w:eastAsia="Calibri" w:hAnsi="Times New Roman" w:cs="Times New Roman"/>
          <w:sz w:val="26"/>
          <w:szCs w:val="26"/>
        </w:rPr>
        <w:t xml:space="preserve">food shortage problems, impact significantly the food and dietary quality of families. </w:t>
      </w:r>
      <w:r w:rsidR="00B23D79" w:rsidRPr="00210BD3">
        <w:rPr>
          <w:rStyle w:val="18"/>
          <w:rFonts w:ascii="Times New Roman" w:eastAsia="Calibri" w:hAnsi="Times New Roman" w:cs="Times New Roman"/>
          <w:sz w:val="26"/>
          <w:szCs w:val="26"/>
        </w:rPr>
        <w:t xml:space="preserve">Similarly, </w:t>
      </w:r>
      <w:r w:rsidRPr="00210BD3">
        <w:rPr>
          <w:rStyle w:val="18"/>
          <w:rFonts w:ascii="Times New Roman" w:eastAsia="Calibri" w:hAnsi="Times New Roman" w:cs="Times New Roman"/>
          <w:sz w:val="26"/>
          <w:szCs w:val="26"/>
        </w:rPr>
        <w:t xml:space="preserve">Chukwu (2014) found that there is no significant difference between the mean rating of </w:t>
      </w:r>
      <w:r w:rsidRPr="00210BD3">
        <w:rPr>
          <w:rStyle w:val="18"/>
          <w:rFonts w:ascii="Times New Roman" w:eastAsia="Calibri" w:hAnsi="Times New Roman" w:cs="Times New Roman"/>
          <w:sz w:val="26"/>
          <w:szCs w:val="26"/>
        </w:rPr>
        <w:lastRenderedPageBreak/>
        <w:t>male and female farmers' perception of the influence of food availability on the dietary quality of families in Ika South East of Delta State.</w:t>
      </w:r>
    </w:p>
    <w:p w:rsidR="002250C6" w:rsidRPr="008723A9" w:rsidRDefault="002250C6" w:rsidP="007137CC">
      <w:pPr>
        <w:spacing w:after="0" w:line="240" w:lineRule="auto"/>
        <w:jc w:val="both"/>
        <w:rPr>
          <w:rFonts w:ascii="Times New Roman" w:eastAsia="Times New Roman" w:hAnsi="Times New Roman" w:cs="Times New Roman"/>
          <w:sz w:val="16"/>
          <w:szCs w:val="16"/>
        </w:rPr>
      </w:pPr>
    </w:p>
    <w:p w:rsidR="00750353" w:rsidRDefault="00750353">
      <w:pPr>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2250C6" w:rsidRPr="00210BD3" w:rsidRDefault="002250C6" w:rsidP="007137CC">
      <w:pPr>
        <w:autoSpaceDE w:val="0"/>
        <w:autoSpaceDN w:val="0"/>
        <w:adjustRightInd w:val="0"/>
        <w:spacing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lastRenderedPageBreak/>
        <w:t>Conclusion</w:t>
      </w:r>
    </w:p>
    <w:p w:rsidR="002250C6" w:rsidRPr="00210BD3" w:rsidRDefault="007F5005"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Based on the findings made in</w:t>
      </w:r>
      <w:r w:rsidR="002250C6" w:rsidRPr="00210BD3">
        <w:rPr>
          <w:rFonts w:ascii="Times New Roman" w:eastAsia="Calibri" w:hAnsi="Times New Roman" w:cs="Times New Roman"/>
          <w:sz w:val="26"/>
          <w:szCs w:val="26"/>
        </w:rPr>
        <w:t xml:space="preserve"> this study</w:t>
      </w:r>
      <w:r w:rsidRPr="00210BD3">
        <w:rPr>
          <w:rFonts w:ascii="Times New Roman" w:eastAsia="Calibri" w:hAnsi="Times New Roman" w:cs="Times New Roman"/>
          <w:sz w:val="26"/>
          <w:szCs w:val="26"/>
        </w:rPr>
        <w:t>, it is concluded that</w:t>
      </w:r>
      <w:r w:rsidR="002250C6" w:rsidRPr="00210BD3">
        <w:rPr>
          <w:rFonts w:ascii="Times New Roman" w:eastAsia="Calibri" w:hAnsi="Times New Roman" w:cs="Times New Roman"/>
          <w:sz w:val="26"/>
          <w:szCs w:val="26"/>
        </w:rPr>
        <w:t xml:space="preserve"> improvement in family healthcare, reduction in cost of sourcing family food, reduction in the spread of non-communicable diseases in the family, facilitation of alternative diets for family and improvement of family diet quality are the impacts of food and nutrition knowledge on sustainable management of family resources. Furthermore, poverty, shortage of food supply, poor infrastructure to food supply and poor communication among farmers and the food market are challenges to sustainable management of family resources.</w:t>
      </w:r>
    </w:p>
    <w:p w:rsidR="00816E42" w:rsidRPr="00210BD3" w:rsidRDefault="00816E42" w:rsidP="007137CC">
      <w:pPr>
        <w:spacing w:after="0" w:line="240" w:lineRule="auto"/>
        <w:jc w:val="both"/>
        <w:rPr>
          <w:rFonts w:ascii="Times New Roman" w:eastAsia="Calibri" w:hAnsi="Times New Roman" w:cs="Times New Roman"/>
          <w:b/>
          <w:bCs/>
          <w:sz w:val="26"/>
          <w:szCs w:val="26"/>
        </w:rPr>
      </w:pPr>
    </w:p>
    <w:p w:rsidR="002250C6" w:rsidRPr="00210BD3" w:rsidRDefault="002250C6"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b/>
          <w:bCs/>
          <w:sz w:val="26"/>
          <w:szCs w:val="26"/>
        </w:rPr>
        <w:t>Recommendations</w:t>
      </w:r>
    </w:p>
    <w:p w:rsidR="002250C6" w:rsidRPr="00210BD3" w:rsidRDefault="002250C6"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Based on the findings of this study, the following</w:t>
      </w:r>
      <w:r w:rsidR="00C60E36" w:rsidRPr="00210BD3">
        <w:rPr>
          <w:rFonts w:ascii="Times New Roman" w:eastAsia="Calibri" w:hAnsi="Times New Roman" w:cs="Times New Roman"/>
          <w:sz w:val="26"/>
          <w:szCs w:val="26"/>
        </w:rPr>
        <w:t xml:space="preserve"> recommendations have been made:</w:t>
      </w:r>
    </w:p>
    <w:p w:rsidR="002250C6" w:rsidRPr="00210BD3" w:rsidRDefault="00C60E36" w:rsidP="007137CC">
      <w:pPr>
        <w:pStyle w:val="ListParagraph"/>
        <w:numPr>
          <w:ilvl w:val="0"/>
          <w:numId w:val="2"/>
        </w:numPr>
        <w:spacing w:after="0" w:line="240" w:lineRule="auto"/>
        <w:ind w:left="0"/>
        <w:jc w:val="both"/>
        <w:rPr>
          <w:rFonts w:ascii="Times New Roman" w:eastAsia="Calibri" w:hAnsi="Times New Roman"/>
          <w:sz w:val="26"/>
          <w:szCs w:val="26"/>
        </w:rPr>
      </w:pPr>
      <w:r w:rsidRPr="00210BD3">
        <w:rPr>
          <w:rFonts w:ascii="Times New Roman" w:hAnsi="Times New Roman"/>
          <w:sz w:val="26"/>
          <w:szCs w:val="26"/>
        </w:rPr>
        <w:t>Relevant government agencies</w:t>
      </w:r>
      <w:r w:rsidR="002250C6" w:rsidRPr="00210BD3">
        <w:rPr>
          <w:rFonts w:ascii="Times New Roman" w:hAnsi="Times New Roman"/>
          <w:sz w:val="26"/>
          <w:szCs w:val="26"/>
        </w:rPr>
        <w:t xml:space="preserve"> should always empower both male and female farmers with the necessary knowledge </w:t>
      </w:r>
      <w:r w:rsidR="002250C6" w:rsidRPr="00210BD3">
        <w:rPr>
          <w:rFonts w:ascii="Times New Roman" w:hAnsi="Times New Roman"/>
          <w:sz w:val="26"/>
          <w:szCs w:val="26"/>
        </w:rPr>
        <w:lastRenderedPageBreak/>
        <w:t>and information to increase the availability of food and nutrition for the sustainable management of family resources.</w:t>
      </w:r>
    </w:p>
    <w:p w:rsidR="002250C6" w:rsidRPr="00210BD3" w:rsidRDefault="00FB75B6" w:rsidP="007137CC">
      <w:pPr>
        <w:pStyle w:val="ListParagraph"/>
        <w:numPr>
          <w:ilvl w:val="0"/>
          <w:numId w:val="2"/>
        </w:numPr>
        <w:spacing w:after="0" w:line="240" w:lineRule="auto"/>
        <w:ind w:left="0"/>
        <w:jc w:val="both"/>
        <w:rPr>
          <w:rFonts w:ascii="Times New Roman" w:eastAsia="Calibri" w:hAnsi="Times New Roman"/>
          <w:sz w:val="26"/>
          <w:szCs w:val="26"/>
        </w:rPr>
      </w:pPr>
      <w:r w:rsidRPr="00210BD3">
        <w:rPr>
          <w:rFonts w:ascii="Times New Roman" w:eastAsia="Calibri" w:hAnsi="Times New Roman"/>
          <w:sz w:val="26"/>
          <w:szCs w:val="26"/>
        </w:rPr>
        <w:t>Relevant stakeholders should ensure</w:t>
      </w:r>
      <w:r w:rsidR="002250C6" w:rsidRPr="00210BD3">
        <w:rPr>
          <w:rFonts w:ascii="Times New Roman" w:eastAsia="Calibri" w:hAnsi="Times New Roman"/>
          <w:sz w:val="26"/>
          <w:szCs w:val="26"/>
        </w:rPr>
        <w:t xml:space="preserve"> improved communication system between rural farmers and markets should be encouraged to improve the food supply to families </w:t>
      </w:r>
      <w:r w:rsidR="002250C6" w:rsidRPr="00210BD3">
        <w:rPr>
          <w:rFonts w:ascii="Times New Roman" w:hAnsi="Times New Roman"/>
          <w:bCs/>
          <w:sz w:val="26"/>
          <w:szCs w:val="26"/>
        </w:rPr>
        <w:t xml:space="preserve">in </w:t>
      </w:r>
      <w:r w:rsidR="002250C6" w:rsidRPr="00210BD3">
        <w:rPr>
          <w:rFonts w:ascii="Times New Roman" w:hAnsi="Times New Roman"/>
          <w:iCs/>
          <w:sz w:val="26"/>
          <w:szCs w:val="26"/>
        </w:rPr>
        <w:t>Oshimili South Local Government Area</w:t>
      </w:r>
      <w:r w:rsidR="002250C6" w:rsidRPr="00210BD3">
        <w:rPr>
          <w:rFonts w:ascii="Times New Roman" w:eastAsia="Calibri" w:hAnsi="Times New Roman"/>
          <w:sz w:val="26"/>
          <w:szCs w:val="26"/>
        </w:rPr>
        <w:t>.</w:t>
      </w:r>
    </w:p>
    <w:p w:rsidR="002250C6" w:rsidRPr="00210BD3" w:rsidRDefault="00FB75B6" w:rsidP="007137CC">
      <w:pPr>
        <w:pStyle w:val="ListParagraph"/>
        <w:numPr>
          <w:ilvl w:val="0"/>
          <w:numId w:val="2"/>
        </w:numPr>
        <w:spacing w:after="0" w:line="240" w:lineRule="auto"/>
        <w:ind w:left="0"/>
        <w:jc w:val="both"/>
        <w:rPr>
          <w:rFonts w:ascii="Times New Roman" w:eastAsia="Calibri" w:hAnsi="Times New Roman"/>
          <w:sz w:val="26"/>
          <w:szCs w:val="26"/>
        </w:rPr>
      </w:pPr>
      <w:r w:rsidRPr="00210BD3">
        <w:rPr>
          <w:rFonts w:ascii="Times New Roman" w:eastAsia="Calibri" w:hAnsi="Times New Roman"/>
          <w:sz w:val="26"/>
          <w:szCs w:val="26"/>
        </w:rPr>
        <w:t>Relevant government agencies</w:t>
      </w:r>
      <w:r w:rsidR="002250C6" w:rsidRPr="00210BD3">
        <w:rPr>
          <w:rFonts w:ascii="Times New Roman" w:eastAsia="Calibri" w:hAnsi="Times New Roman"/>
          <w:sz w:val="26"/>
          <w:szCs w:val="26"/>
        </w:rPr>
        <w:t xml:space="preserve"> and other stakeholders should tackle the challenges of sustainable management of family resources in </w:t>
      </w:r>
      <w:r w:rsidR="002250C6" w:rsidRPr="00210BD3">
        <w:rPr>
          <w:rFonts w:ascii="Times New Roman" w:hAnsi="Times New Roman"/>
          <w:iCs/>
          <w:sz w:val="26"/>
          <w:szCs w:val="26"/>
        </w:rPr>
        <w:t>Oshimili South Local Government Area, Delta State</w:t>
      </w:r>
      <w:r w:rsidR="002250C6" w:rsidRPr="00210BD3">
        <w:rPr>
          <w:rFonts w:ascii="Times New Roman" w:eastAsia="Calibri" w:hAnsi="Times New Roman"/>
          <w:sz w:val="26"/>
          <w:szCs w:val="26"/>
        </w:rPr>
        <w:t xml:space="preserve"> such as illiteracy, poverty, shortage of food, etc by empowering farmers with high-yield crops, fertilizers, farming equipment and constantly conducting training for them.</w:t>
      </w:r>
    </w:p>
    <w:p w:rsidR="00960639" w:rsidRDefault="00960639" w:rsidP="007137CC">
      <w:pPr>
        <w:spacing w:after="0" w:line="240" w:lineRule="auto"/>
        <w:rPr>
          <w:rFonts w:ascii="Times New Roman" w:eastAsia="Times New Roman" w:hAnsi="Times New Roman" w:cs="Times New Roman"/>
          <w:b/>
          <w:iCs/>
          <w:sz w:val="26"/>
          <w:szCs w:val="26"/>
        </w:rPr>
      </w:pPr>
    </w:p>
    <w:p w:rsidR="00BE3DBC" w:rsidRDefault="00BE3DBC" w:rsidP="007137CC">
      <w:pPr>
        <w:spacing w:after="0" w:line="240" w:lineRule="auto"/>
        <w:rPr>
          <w:rFonts w:ascii="Times New Roman" w:hAnsi="Times New Roman" w:cs="Times New Roman"/>
          <w:b/>
          <w:iCs/>
          <w:sz w:val="26"/>
          <w:szCs w:val="26"/>
        </w:rPr>
      </w:pPr>
    </w:p>
    <w:p w:rsidR="00BE3DBC" w:rsidRDefault="00BE3DBC" w:rsidP="007137CC">
      <w:pPr>
        <w:spacing w:after="0" w:line="240" w:lineRule="auto"/>
        <w:rPr>
          <w:rFonts w:ascii="Times New Roman" w:hAnsi="Times New Roman" w:cs="Times New Roman"/>
          <w:b/>
          <w:iCs/>
          <w:sz w:val="26"/>
          <w:szCs w:val="26"/>
        </w:rPr>
      </w:pPr>
    </w:p>
    <w:p w:rsidR="00BE3DBC" w:rsidRDefault="00BE3DBC" w:rsidP="007137CC">
      <w:pPr>
        <w:spacing w:after="0" w:line="240" w:lineRule="auto"/>
        <w:rPr>
          <w:rFonts w:ascii="Times New Roman" w:hAnsi="Times New Roman" w:cs="Times New Roman"/>
          <w:b/>
          <w:iCs/>
          <w:sz w:val="26"/>
          <w:szCs w:val="26"/>
        </w:rPr>
      </w:pPr>
    </w:p>
    <w:p w:rsidR="00BE3DBC" w:rsidRDefault="00BE3DBC" w:rsidP="007137CC">
      <w:pPr>
        <w:spacing w:after="0" w:line="240" w:lineRule="auto"/>
        <w:rPr>
          <w:rFonts w:ascii="Times New Roman" w:hAnsi="Times New Roman" w:cs="Times New Roman"/>
          <w:b/>
          <w:iCs/>
          <w:sz w:val="26"/>
          <w:szCs w:val="26"/>
        </w:rPr>
      </w:pPr>
    </w:p>
    <w:p w:rsidR="00BE3DBC" w:rsidRDefault="00BE3DBC" w:rsidP="007137CC">
      <w:pPr>
        <w:spacing w:after="0" w:line="240" w:lineRule="auto"/>
        <w:rPr>
          <w:rFonts w:ascii="Times New Roman" w:hAnsi="Times New Roman" w:cs="Times New Roman"/>
          <w:b/>
          <w:iCs/>
          <w:sz w:val="26"/>
          <w:szCs w:val="26"/>
        </w:rPr>
      </w:pPr>
    </w:p>
    <w:p w:rsidR="00BE3DBC" w:rsidRDefault="00BE3DBC" w:rsidP="007137CC">
      <w:pPr>
        <w:spacing w:after="0" w:line="240" w:lineRule="auto"/>
        <w:ind w:hanging="720"/>
        <w:jc w:val="both"/>
        <w:rPr>
          <w:rStyle w:val="18"/>
          <w:rFonts w:ascii="Times New Roman" w:eastAsia="Calibri" w:hAnsi="Times New Roman" w:cs="Times New Roman"/>
          <w:sz w:val="26"/>
          <w:szCs w:val="26"/>
        </w:rPr>
        <w:sectPr w:rsidR="00BE3DBC" w:rsidSect="00960639">
          <w:type w:val="continuous"/>
          <w:pgSz w:w="12240" w:h="15840" w:code="1"/>
          <w:pgMar w:top="1440" w:right="1440" w:bottom="1440" w:left="1440" w:header="706" w:footer="706" w:gutter="0"/>
          <w:cols w:num="2" w:space="708"/>
          <w:docGrid w:linePitch="360"/>
        </w:sectPr>
      </w:pPr>
    </w:p>
    <w:p w:rsidR="00BE3DBC" w:rsidRDefault="00BE3DBC" w:rsidP="007137CC">
      <w:pPr>
        <w:spacing w:after="0" w:line="240" w:lineRule="auto"/>
        <w:jc w:val="both"/>
        <w:rPr>
          <w:rFonts w:ascii="Times New Roman" w:hAnsi="Times New Roman" w:cs="Times New Roman"/>
          <w:b/>
          <w:iCs/>
          <w:sz w:val="26"/>
          <w:szCs w:val="26"/>
        </w:rPr>
      </w:pPr>
    </w:p>
    <w:p w:rsidR="00BE3DBC" w:rsidRPr="00960639" w:rsidRDefault="00BE3DBC" w:rsidP="007137CC">
      <w:pPr>
        <w:spacing w:after="0" w:line="240" w:lineRule="auto"/>
        <w:jc w:val="both"/>
        <w:rPr>
          <w:rFonts w:ascii="Times New Roman" w:eastAsia="Times New Roman" w:hAnsi="Times New Roman" w:cs="Times New Roman"/>
          <w:b/>
          <w:iCs/>
          <w:sz w:val="26"/>
          <w:szCs w:val="26"/>
        </w:rPr>
      </w:pPr>
      <w:r w:rsidRPr="00210BD3">
        <w:rPr>
          <w:rFonts w:ascii="Times New Roman" w:hAnsi="Times New Roman" w:cs="Times New Roman"/>
          <w:b/>
          <w:iCs/>
          <w:sz w:val="26"/>
          <w:szCs w:val="26"/>
        </w:rPr>
        <w:t xml:space="preserve">References </w:t>
      </w:r>
    </w:p>
    <w:p w:rsidR="00DF5FAC" w:rsidRDefault="00DF5FAC" w:rsidP="007137CC">
      <w:pPr>
        <w:spacing w:after="0" w:line="240" w:lineRule="auto"/>
        <w:ind w:hanging="720"/>
        <w:jc w:val="both"/>
        <w:rPr>
          <w:rStyle w:val="18"/>
          <w:rFonts w:ascii="Times New Roman" w:eastAsia="Calibri" w:hAnsi="Times New Roman" w:cs="Times New Roman"/>
          <w:sz w:val="26"/>
          <w:szCs w:val="26"/>
        </w:rPr>
      </w:pP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Style w:val="18"/>
          <w:rFonts w:ascii="Times New Roman" w:eastAsia="Calibri" w:hAnsi="Times New Roman" w:cs="Times New Roman"/>
          <w:sz w:val="26"/>
          <w:szCs w:val="26"/>
        </w:rPr>
        <w:t>Agary</w:t>
      </w:r>
      <w:r w:rsidR="00405178" w:rsidRPr="00210BD3">
        <w:rPr>
          <w:rFonts w:ascii="Times New Roman" w:eastAsia="Calibri" w:hAnsi="Times New Roman" w:cs="Times New Roman"/>
          <w:sz w:val="26"/>
          <w:szCs w:val="26"/>
        </w:rPr>
        <w:t>, O. and</w:t>
      </w:r>
      <w:r w:rsidRPr="00210BD3">
        <w:rPr>
          <w:rStyle w:val="18"/>
          <w:rFonts w:ascii="Times New Roman" w:eastAsia="Calibri" w:hAnsi="Times New Roman" w:cs="Times New Roman"/>
          <w:sz w:val="26"/>
          <w:szCs w:val="26"/>
        </w:rPr>
        <w:t>Gillepie</w:t>
      </w:r>
      <w:r w:rsidRPr="00210BD3">
        <w:rPr>
          <w:rFonts w:ascii="Times New Roman" w:eastAsia="Calibri" w:hAnsi="Times New Roman" w:cs="Times New Roman"/>
          <w:sz w:val="26"/>
          <w:szCs w:val="26"/>
        </w:rPr>
        <w:t>, R. (2019).Planning the Nigerian environment: Laws and problems of implementation.</w:t>
      </w:r>
      <w:r w:rsidRPr="00210BD3">
        <w:rPr>
          <w:rStyle w:val="15"/>
          <w:rFonts w:ascii="Times New Roman" w:eastAsia="Calibri" w:hAnsi="Times New Roman" w:cs="Times New Roman"/>
          <w:i/>
          <w:sz w:val="26"/>
          <w:szCs w:val="26"/>
        </w:rPr>
        <w:t>Contemporary Journal of Social Sciences,</w:t>
      </w:r>
      <w:r w:rsidRPr="00210BD3">
        <w:rPr>
          <w:rFonts w:ascii="Times New Roman" w:eastAsia="Calibri" w:hAnsi="Times New Roman" w:cs="Times New Roman"/>
          <w:sz w:val="26"/>
          <w:szCs w:val="26"/>
        </w:rPr>
        <w:t xml:space="preserve">1: 151–161. </w:t>
      </w: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Fonts w:ascii="Times New Roman" w:hAnsi="Times New Roman" w:cs="Times New Roman"/>
          <w:sz w:val="26"/>
          <w:szCs w:val="26"/>
        </w:rPr>
        <w:t>Arene</w:t>
      </w:r>
      <w:r w:rsidR="00405178" w:rsidRPr="00210BD3">
        <w:rPr>
          <w:rFonts w:ascii="Times New Roman" w:eastAsia="Calibri" w:hAnsi="Times New Roman" w:cs="Times New Roman"/>
          <w:sz w:val="26"/>
          <w:szCs w:val="26"/>
        </w:rPr>
        <w:t xml:space="preserve">, J. and </w:t>
      </w:r>
      <w:r w:rsidRPr="00210BD3">
        <w:rPr>
          <w:rFonts w:ascii="Times New Roman" w:hAnsi="Times New Roman" w:cs="Times New Roman"/>
          <w:sz w:val="26"/>
          <w:szCs w:val="26"/>
        </w:rPr>
        <w:t>Mbata, S</w:t>
      </w:r>
      <w:r w:rsidRPr="00210BD3">
        <w:rPr>
          <w:rFonts w:ascii="Times New Roman" w:eastAsia="Calibri" w:hAnsi="Times New Roman" w:cs="Times New Roman"/>
          <w:sz w:val="26"/>
          <w:szCs w:val="26"/>
        </w:rPr>
        <w:t>. (2018). Potential impact of climate change on fisheries and aquaculture in Nigeria.</w:t>
      </w:r>
      <w:r w:rsidRPr="00210BD3">
        <w:rPr>
          <w:rStyle w:val="15"/>
          <w:rFonts w:ascii="Times New Roman" w:eastAsia="Calibri" w:hAnsi="Times New Roman" w:cs="Times New Roman"/>
          <w:i/>
          <w:sz w:val="26"/>
          <w:szCs w:val="26"/>
        </w:rPr>
        <w:t>Journal of Fisheries and Aquatic Science</w:t>
      </w:r>
      <w:r w:rsidR="00405178" w:rsidRPr="00210BD3">
        <w:rPr>
          <w:rStyle w:val="15"/>
          <w:rFonts w:ascii="Times New Roman" w:eastAsia="Calibri" w:hAnsi="Times New Roman" w:cs="Times New Roman"/>
          <w:sz w:val="26"/>
          <w:szCs w:val="26"/>
        </w:rPr>
        <w:t>,</w:t>
      </w:r>
      <w:r w:rsidRPr="00210BD3">
        <w:rPr>
          <w:rFonts w:ascii="Times New Roman" w:eastAsia="Calibri" w:hAnsi="Times New Roman" w:cs="Times New Roman"/>
          <w:sz w:val="26"/>
          <w:szCs w:val="26"/>
        </w:rPr>
        <w:t xml:space="preserve"> 9: 338–44. </w:t>
      </w: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Style w:val="18"/>
          <w:rFonts w:ascii="Times New Roman" w:eastAsia="Calibri" w:hAnsi="Times New Roman" w:cs="Times New Roman"/>
          <w:sz w:val="26"/>
          <w:szCs w:val="26"/>
        </w:rPr>
        <w:t>Barrett</w:t>
      </w:r>
      <w:r w:rsidRPr="00210BD3">
        <w:rPr>
          <w:rFonts w:ascii="Times New Roman" w:eastAsia="Calibri" w:hAnsi="Times New Roman" w:cs="Times New Roman"/>
          <w:sz w:val="26"/>
          <w:szCs w:val="26"/>
        </w:rPr>
        <w:t xml:space="preserve">, E. (2017). Linked sustainability challenges and trade-offs among fisheries, aquaculture and agriculture. </w:t>
      </w:r>
      <w:r w:rsidRPr="00210BD3">
        <w:rPr>
          <w:rStyle w:val="15"/>
          <w:rFonts w:ascii="Times New Roman" w:eastAsia="Calibri" w:hAnsi="Times New Roman" w:cs="Times New Roman"/>
          <w:i/>
          <w:sz w:val="26"/>
          <w:szCs w:val="26"/>
        </w:rPr>
        <w:t>Nature Ecology &amp; Evolution</w:t>
      </w:r>
      <w:r w:rsidRPr="00210BD3">
        <w:rPr>
          <w:rFonts w:ascii="Times New Roman" w:eastAsia="Calibri" w:hAnsi="Times New Roman" w:cs="Times New Roman"/>
          <w:sz w:val="26"/>
          <w:szCs w:val="26"/>
        </w:rPr>
        <w:t xml:space="preserve"> 1: 1240–49. </w:t>
      </w: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Chukwu, M. N. (2014). Impact of flooding on fishermen’s families in Pedro community, Iwaya-Lagos, Nigeria.</w:t>
      </w:r>
      <w:r w:rsidRPr="00210BD3">
        <w:rPr>
          <w:rStyle w:val="15"/>
          <w:rFonts w:ascii="Times New Roman" w:eastAsia="Calibri" w:hAnsi="Times New Roman" w:cs="Times New Roman"/>
          <w:i/>
          <w:sz w:val="26"/>
          <w:szCs w:val="26"/>
        </w:rPr>
        <w:t>Journal of Applied Sciences and Environmental Management</w:t>
      </w:r>
      <w:r w:rsidRPr="00210BD3">
        <w:rPr>
          <w:rFonts w:ascii="Times New Roman" w:eastAsia="Calibri" w:hAnsi="Times New Roman" w:cs="Times New Roman"/>
          <w:sz w:val="26"/>
          <w:szCs w:val="26"/>
        </w:rPr>
        <w:t xml:space="preserve"> 18: 647–51.</w:t>
      </w: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Echendu, A. J. (2020). The impact of flooding on Nigeria’s sustainable development goals (SDGs).</w:t>
      </w:r>
      <w:r w:rsidRPr="00210BD3">
        <w:rPr>
          <w:rStyle w:val="15"/>
          <w:rFonts w:ascii="Times New Roman" w:eastAsia="Calibri" w:hAnsi="Times New Roman" w:cs="Times New Roman"/>
          <w:i/>
          <w:sz w:val="26"/>
          <w:szCs w:val="26"/>
        </w:rPr>
        <w:t>Ecosystem Health and Sustainability</w:t>
      </w:r>
      <w:r w:rsidRPr="00210BD3">
        <w:rPr>
          <w:rFonts w:ascii="Times New Roman" w:eastAsia="Calibri" w:hAnsi="Times New Roman" w:cs="Times New Roman"/>
          <w:sz w:val="26"/>
          <w:szCs w:val="26"/>
        </w:rPr>
        <w:t xml:space="preserve"> 6: 1791735. </w:t>
      </w:r>
    </w:p>
    <w:p w:rsidR="002250C6" w:rsidRPr="00210BD3" w:rsidRDefault="002250C6" w:rsidP="007137CC">
      <w:pPr>
        <w:spacing w:after="0" w:line="240" w:lineRule="auto"/>
        <w:ind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Fanzo, J. (2019). Healthy and Sustainable Diets and Food Systems: The key to achieving sustainable development goal 2. </w:t>
      </w:r>
      <w:r w:rsidRPr="00210BD3">
        <w:rPr>
          <w:rStyle w:val="15"/>
          <w:rFonts w:ascii="Times New Roman" w:eastAsia="Calibri" w:hAnsi="Times New Roman" w:cs="Times New Roman"/>
          <w:i/>
          <w:sz w:val="26"/>
          <w:szCs w:val="26"/>
        </w:rPr>
        <w:t>Food Ethics</w:t>
      </w:r>
      <w:r w:rsidRPr="00210BD3">
        <w:rPr>
          <w:rFonts w:ascii="Times New Roman" w:eastAsia="Calibri" w:hAnsi="Times New Roman" w:cs="Times New Roman"/>
          <w:sz w:val="26"/>
          <w:szCs w:val="26"/>
        </w:rPr>
        <w:t xml:space="preserve"> 4: 159–74.</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210BD3">
        <w:rPr>
          <w:rFonts w:ascii="Times New Roman" w:eastAsia="Calibri" w:hAnsi="Times New Roman" w:cs="Times New Roman"/>
          <w:sz w:val="26"/>
          <w:szCs w:val="26"/>
        </w:rPr>
        <w:lastRenderedPageBreak/>
        <w:t xml:space="preserve">Gellert, T. (2020). Floods and food shortages threaten to push Nigeria into a food </w:t>
      </w:r>
      <w:r w:rsidRPr="00960639">
        <w:rPr>
          <w:rFonts w:ascii="Times New Roman" w:eastAsia="Calibri" w:hAnsi="Times New Roman" w:cs="Times New Roman"/>
          <w:color w:val="000000" w:themeColor="text1"/>
          <w:sz w:val="26"/>
          <w:szCs w:val="26"/>
        </w:rPr>
        <w:t>crisis.</w:t>
      </w:r>
      <w:hyperlink r:id="rId18" w:history="1">
        <w:r w:rsidRPr="00960639">
          <w:rPr>
            <w:rStyle w:val="16"/>
            <w:rFonts w:ascii="Times New Roman" w:eastAsia="Calibri" w:hAnsi="Times New Roman" w:cs="Times New Roman"/>
            <w:color w:val="000000" w:themeColor="text1"/>
            <w:sz w:val="26"/>
            <w:szCs w:val="26"/>
            <w:u w:val="none"/>
          </w:rPr>
          <w:t>https://theowp.org/reports/floods-and-food-shortages-threaten-to-push-nigeria-into-a-food-crisis/</w:t>
        </w:r>
      </w:hyperlink>
      <w:r w:rsidRPr="00960639">
        <w:rPr>
          <w:rFonts w:ascii="Times New Roman" w:eastAsia="Calibri" w:hAnsi="Times New Roman" w:cs="Times New Roman"/>
          <w:color w:val="000000" w:themeColor="text1"/>
          <w:sz w:val="26"/>
          <w:szCs w:val="26"/>
        </w:rPr>
        <w:t>.</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eastAsia="Calibri" w:hAnsi="Times New Roman" w:cs="Times New Roman"/>
          <w:color w:val="000000" w:themeColor="text1"/>
          <w:sz w:val="26"/>
          <w:szCs w:val="26"/>
        </w:rPr>
        <w:t xml:space="preserve">Hwalla, N., Sibelle L, &amp; Rachel, A. (2016). Nutrition security is an integral component of food security. </w:t>
      </w:r>
      <w:r w:rsidRPr="00960639">
        <w:rPr>
          <w:rStyle w:val="15"/>
          <w:rFonts w:ascii="Times New Roman" w:eastAsia="Calibri" w:hAnsi="Times New Roman" w:cs="Times New Roman"/>
          <w:i/>
          <w:color w:val="000000" w:themeColor="text1"/>
          <w:sz w:val="26"/>
          <w:szCs w:val="26"/>
        </w:rPr>
        <w:t>Frontiers in Life Science</w:t>
      </w:r>
      <w:r w:rsidR="00405178" w:rsidRPr="00960639">
        <w:rPr>
          <w:rStyle w:val="15"/>
          <w:rFonts w:ascii="Times New Roman" w:eastAsia="Calibri" w:hAnsi="Times New Roman" w:cs="Times New Roman"/>
          <w:color w:val="000000" w:themeColor="text1"/>
          <w:sz w:val="26"/>
          <w:szCs w:val="26"/>
        </w:rPr>
        <w:t>,</w:t>
      </w:r>
      <w:r w:rsidRPr="00960639">
        <w:rPr>
          <w:rFonts w:ascii="Times New Roman" w:eastAsia="Calibri" w:hAnsi="Times New Roman" w:cs="Times New Roman"/>
          <w:color w:val="000000" w:themeColor="text1"/>
          <w:sz w:val="26"/>
          <w:szCs w:val="26"/>
        </w:rPr>
        <w:t xml:space="preserve"> 9: 167–72. </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eastAsia="Calibri" w:hAnsi="Times New Roman" w:cs="Times New Roman"/>
          <w:color w:val="000000" w:themeColor="text1"/>
          <w:sz w:val="26"/>
          <w:szCs w:val="26"/>
        </w:rPr>
        <w:t>Ibikunle, R. &amp; Akintoye, B. (2019).Analysis of the causes and effects of unemployment in Nigeria towards a solution for graduate idleness and poverty alleviation.</w:t>
      </w:r>
      <w:r w:rsidR="00231B63" w:rsidRPr="00960639">
        <w:rPr>
          <w:rStyle w:val="15"/>
          <w:rFonts w:ascii="Times New Roman" w:eastAsia="Calibri" w:hAnsi="Times New Roman" w:cs="Times New Roman"/>
          <w:i/>
          <w:color w:val="000000" w:themeColor="text1"/>
          <w:sz w:val="26"/>
          <w:szCs w:val="26"/>
        </w:rPr>
        <w:t>IOSR Journal o</w:t>
      </w:r>
      <w:r w:rsidRPr="00960639">
        <w:rPr>
          <w:rStyle w:val="15"/>
          <w:rFonts w:ascii="Times New Roman" w:eastAsia="Calibri" w:hAnsi="Times New Roman" w:cs="Times New Roman"/>
          <w:i/>
          <w:color w:val="000000" w:themeColor="text1"/>
          <w:sz w:val="26"/>
          <w:szCs w:val="26"/>
        </w:rPr>
        <w:t>f Humanities and Social Science</w:t>
      </w:r>
      <w:r w:rsidRPr="00960639">
        <w:rPr>
          <w:rFonts w:ascii="Times New Roman" w:eastAsia="Calibri" w:hAnsi="Times New Roman" w:cs="Times New Roman"/>
          <w:color w:val="000000" w:themeColor="text1"/>
          <w:sz w:val="26"/>
          <w:szCs w:val="26"/>
        </w:rPr>
        <w:t xml:space="preserve"> 24: 36–44. </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eastAsia="Calibri" w:hAnsi="Times New Roman" w:cs="Times New Roman"/>
          <w:color w:val="000000" w:themeColor="text1"/>
          <w:sz w:val="26"/>
          <w:szCs w:val="26"/>
        </w:rPr>
        <w:t>Idoko, I. D. (2016). An impact assessment of flooding on food security among rural farmers in Dagiri community, of Gwagwalada Area .</w:t>
      </w:r>
      <w:r w:rsidRPr="00960639">
        <w:rPr>
          <w:rStyle w:val="15"/>
          <w:rFonts w:ascii="Times New Roman" w:eastAsia="Calibri" w:hAnsi="Times New Roman" w:cs="Times New Roman"/>
          <w:i/>
          <w:color w:val="000000" w:themeColor="text1"/>
          <w:sz w:val="26"/>
          <w:szCs w:val="26"/>
        </w:rPr>
        <w:t>Agricultural Development</w:t>
      </w:r>
      <w:r w:rsidRPr="00960639">
        <w:rPr>
          <w:rFonts w:ascii="Times New Roman" w:eastAsia="Calibri" w:hAnsi="Times New Roman" w:cs="Times New Roman"/>
          <w:color w:val="000000" w:themeColor="text1"/>
          <w:sz w:val="26"/>
          <w:szCs w:val="26"/>
        </w:rPr>
        <w:t xml:space="preserve"> 1: 6–13. </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hAnsi="Times New Roman" w:cs="Times New Roman"/>
          <w:color w:val="000000" w:themeColor="text1"/>
          <w:sz w:val="26"/>
          <w:szCs w:val="26"/>
        </w:rPr>
        <w:t>Omonona</w:t>
      </w:r>
      <w:r w:rsidRPr="00960639">
        <w:rPr>
          <w:rFonts w:ascii="Times New Roman" w:eastAsia="Calibri" w:hAnsi="Times New Roman" w:cs="Times New Roman"/>
          <w:color w:val="000000" w:themeColor="text1"/>
          <w:sz w:val="26"/>
          <w:szCs w:val="26"/>
        </w:rPr>
        <w:t xml:space="preserve">, O.; Akin, Z. O.; Ojekunle, J. &amp; Brenda, T. A. (2017). Review of climate change and its effect on Nigeria ecosystem. </w:t>
      </w:r>
      <w:r w:rsidRPr="00960639">
        <w:rPr>
          <w:rStyle w:val="15"/>
          <w:rFonts w:ascii="Times New Roman" w:eastAsia="Calibri" w:hAnsi="Times New Roman" w:cs="Times New Roman"/>
          <w:i/>
          <w:color w:val="000000" w:themeColor="text1"/>
          <w:sz w:val="26"/>
          <w:szCs w:val="26"/>
        </w:rPr>
        <w:t>International Journal of African and Asian Studies—An Open Access International Journal</w:t>
      </w:r>
      <w:r w:rsidRPr="00960639">
        <w:rPr>
          <w:rFonts w:ascii="Times New Roman" w:eastAsia="Calibri" w:hAnsi="Times New Roman" w:cs="Times New Roman"/>
          <w:color w:val="000000" w:themeColor="text1"/>
          <w:sz w:val="26"/>
          <w:szCs w:val="26"/>
        </w:rPr>
        <w:t xml:space="preserve"> 1: 57–65. </w:t>
      </w:r>
    </w:p>
    <w:p w:rsidR="002250C6"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eastAsia="Calibri" w:hAnsi="Times New Roman" w:cs="Times New Roman"/>
          <w:color w:val="000000" w:themeColor="text1"/>
          <w:sz w:val="26"/>
          <w:szCs w:val="26"/>
        </w:rPr>
        <w:t xml:space="preserve">Oyebola, O. (2018). </w:t>
      </w:r>
      <w:r w:rsidRPr="00960639">
        <w:rPr>
          <w:rFonts w:ascii="Times New Roman" w:eastAsia="Calibri" w:hAnsi="Times New Roman" w:cs="Times New Roman"/>
          <w:i/>
          <w:color w:val="000000" w:themeColor="text1"/>
          <w:sz w:val="26"/>
          <w:szCs w:val="26"/>
        </w:rPr>
        <w:t>Agriculture in the face of climate-mediated flooding in tropical Africa: technical innovations of fish farmers in Southwestern Nigeria.</w:t>
      </w:r>
      <w:r w:rsidRPr="00960639">
        <w:rPr>
          <w:rFonts w:ascii="Times New Roman" w:eastAsia="Calibri" w:hAnsi="Times New Roman" w:cs="Times New Roman"/>
          <w:color w:val="000000" w:themeColor="text1"/>
          <w:sz w:val="26"/>
          <w:szCs w:val="26"/>
        </w:rPr>
        <w:t xml:space="preserve">In </w:t>
      </w:r>
      <w:r w:rsidRPr="00960639">
        <w:rPr>
          <w:rStyle w:val="15"/>
          <w:rFonts w:ascii="Times New Roman" w:eastAsia="Calibri" w:hAnsi="Times New Roman" w:cs="Times New Roman"/>
          <w:color w:val="000000" w:themeColor="text1"/>
          <w:sz w:val="26"/>
          <w:szCs w:val="26"/>
        </w:rPr>
        <w:t>Handbook of Climate Change Resilience</w:t>
      </w:r>
      <w:r w:rsidRPr="00960639">
        <w:rPr>
          <w:rFonts w:ascii="Times New Roman" w:eastAsia="Calibri" w:hAnsi="Times New Roman" w:cs="Times New Roman"/>
          <w:color w:val="000000" w:themeColor="text1"/>
          <w:sz w:val="26"/>
          <w:szCs w:val="26"/>
        </w:rPr>
        <w:t xml:space="preserve">.Edited by Walter Leal Filho. Cham: Springer. </w:t>
      </w:r>
    </w:p>
    <w:p w:rsidR="009E60FF" w:rsidRPr="00960639" w:rsidRDefault="002250C6" w:rsidP="007137CC">
      <w:pPr>
        <w:spacing w:after="0" w:line="240" w:lineRule="auto"/>
        <w:ind w:hanging="720"/>
        <w:jc w:val="both"/>
        <w:rPr>
          <w:rFonts w:ascii="Times New Roman" w:eastAsia="Calibri" w:hAnsi="Times New Roman" w:cs="Times New Roman"/>
          <w:color w:val="000000" w:themeColor="text1"/>
          <w:sz w:val="26"/>
          <w:szCs w:val="26"/>
        </w:rPr>
      </w:pPr>
      <w:r w:rsidRPr="00960639">
        <w:rPr>
          <w:rFonts w:ascii="Times New Roman" w:hAnsi="Times New Roman" w:cs="Times New Roman"/>
          <w:color w:val="000000" w:themeColor="text1"/>
          <w:sz w:val="26"/>
          <w:szCs w:val="26"/>
        </w:rPr>
        <w:t>Smith, H. &amp; Nasr</w:t>
      </w:r>
      <w:r w:rsidRPr="00960639">
        <w:rPr>
          <w:rFonts w:ascii="Times New Roman" w:eastAsia="Calibri" w:hAnsi="Times New Roman" w:cs="Times New Roman"/>
          <w:color w:val="000000" w:themeColor="text1"/>
          <w:sz w:val="26"/>
          <w:szCs w:val="26"/>
        </w:rPr>
        <w:t xml:space="preserve">, A. (2019). Perennial floods in the Accra metropolis: Dissecting the causes and possible solutions. </w:t>
      </w:r>
      <w:r w:rsidRPr="00960639">
        <w:rPr>
          <w:rFonts w:ascii="Times New Roman" w:eastAsia="Calibri" w:hAnsi="Times New Roman" w:cs="Times New Roman"/>
          <w:i/>
          <w:color w:val="000000" w:themeColor="text1"/>
          <w:sz w:val="26"/>
          <w:szCs w:val="26"/>
        </w:rPr>
        <w:t>Journal of</w:t>
      </w:r>
      <w:r w:rsidRPr="00960639">
        <w:rPr>
          <w:rStyle w:val="15"/>
          <w:rFonts w:ascii="Times New Roman" w:eastAsia="Calibri" w:hAnsi="Times New Roman" w:cs="Times New Roman"/>
          <w:i/>
          <w:color w:val="000000" w:themeColor="text1"/>
          <w:sz w:val="26"/>
          <w:szCs w:val="26"/>
        </w:rPr>
        <w:t>African Social Science Review</w:t>
      </w:r>
      <w:r w:rsidRPr="00960639">
        <w:rPr>
          <w:rFonts w:ascii="Times New Roman" w:eastAsia="Calibri" w:hAnsi="Times New Roman" w:cs="Times New Roman"/>
          <w:color w:val="000000" w:themeColor="text1"/>
          <w:sz w:val="26"/>
          <w:szCs w:val="26"/>
        </w:rPr>
        <w:t xml:space="preserve"> 6: 1. 121-136 .</w:t>
      </w:r>
      <w:hyperlink r:id="rId19" w:history="1">
        <w:r w:rsidR="00777B36" w:rsidRPr="00960639">
          <w:rPr>
            <w:rStyle w:val="Hyperlink"/>
            <w:rFonts w:ascii="Times New Roman" w:eastAsia="Calibri" w:hAnsi="Times New Roman" w:cs="Times New Roman"/>
            <w:color w:val="000000" w:themeColor="text1"/>
            <w:sz w:val="26"/>
            <w:szCs w:val="26"/>
            <w:u w:val="none"/>
          </w:rPr>
          <w:t>https://digitalscholarship.tsu.edu/assr/vol6/iss1/1/</w:t>
        </w:r>
      </w:hyperlink>
    </w:p>
    <w:p w:rsidR="00777B36" w:rsidRPr="00960639" w:rsidRDefault="00777B36" w:rsidP="007137CC">
      <w:pPr>
        <w:spacing w:after="100" w:afterAutospacing="1" w:line="240" w:lineRule="auto"/>
        <w:ind w:hanging="720"/>
        <w:jc w:val="both"/>
        <w:rPr>
          <w:rFonts w:ascii="Times New Roman" w:eastAsia="Calibri" w:hAnsi="Times New Roman" w:cs="Times New Roman"/>
          <w:color w:val="000000" w:themeColor="text1"/>
          <w:sz w:val="26"/>
          <w:szCs w:val="26"/>
        </w:rPr>
      </w:pPr>
    </w:p>
    <w:p w:rsidR="00960639" w:rsidRDefault="00960639" w:rsidP="007137CC">
      <w:pPr>
        <w:spacing w:after="100" w:afterAutospacing="1" w:line="240" w:lineRule="auto"/>
        <w:ind w:hanging="720"/>
        <w:jc w:val="both"/>
        <w:rPr>
          <w:rFonts w:ascii="Times New Roman" w:eastAsia="Calibri" w:hAnsi="Times New Roman" w:cs="Times New Roman"/>
          <w:sz w:val="26"/>
          <w:szCs w:val="26"/>
        </w:rPr>
        <w:sectPr w:rsidR="00960639" w:rsidSect="00BE3DBC">
          <w:type w:val="continuous"/>
          <w:pgSz w:w="12240" w:h="15840" w:code="1"/>
          <w:pgMar w:top="1440" w:right="1440" w:bottom="1440" w:left="1440" w:header="706" w:footer="706" w:gutter="0"/>
          <w:cols w:space="708"/>
          <w:docGrid w:linePitch="360"/>
        </w:sectPr>
      </w:pPr>
    </w:p>
    <w:p w:rsidR="00960639" w:rsidRDefault="00960639" w:rsidP="007137CC">
      <w:pPr>
        <w:ind w:hanging="720"/>
        <w:rPr>
          <w:rFonts w:ascii="Times New Roman" w:eastAsia="Calibri" w:hAnsi="Times New Roman" w:cs="Times New Roman"/>
          <w:sz w:val="26"/>
          <w:szCs w:val="26"/>
        </w:rPr>
      </w:pPr>
      <w:r>
        <w:rPr>
          <w:rFonts w:ascii="Times New Roman" w:eastAsia="Calibri" w:hAnsi="Times New Roman" w:cs="Times New Roman"/>
          <w:sz w:val="26"/>
          <w:szCs w:val="26"/>
        </w:rPr>
        <w:lastRenderedPageBreak/>
        <w:br w:type="page"/>
      </w:r>
    </w:p>
    <w:p w:rsidR="00960639" w:rsidRPr="00960639" w:rsidRDefault="00960639" w:rsidP="007137CC">
      <w:pPr>
        <w:pStyle w:val="NoSpacing"/>
        <w:jc w:val="center"/>
        <w:rPr>
          <w:b/>
          <w:color w:val="000000"/>
          <w:sz w:val="4"/>
          <w:szCs w:val="26"/>
        </w:rPr>
      </w:pPr>
    </w:p>
    <w:p w:rsidR="00372A53" w:rsidRPr="00210BD3" w:rsidRDefault="00372A53" w:rsidP="007137CC">
      <w:pPr>
        <w:pStyle w:val="NoSpacing"/>
        <w:spacing w:before="0" w:beforeAutospacing="0"/>
        <w:jc w:val="center"/>
        <w:rPr>
          <w:b/>
          <w:sz w:val="26"/>
          <w:szCs w:val="26"/>
        </w:rPr>
      </w:pPr>
      <w:r w:rsidRPr="00210BD3">
        <w:rPr>
          <w:b/>
          <w:color w:val="000000"/>
          <w:sz w:val="26"/>
          <w:szCs w:val="26"/>
        </w:rPr>
        <w:t>I</w:t>
      </w:r>
      <w:r w:rsidRPr="00210BD3">
        <w:rPr>
          <w:b/>
          <w:sz w:val="26"/>
          <w:szCs w:val="26"/>
        </w:rPr>
        <w:t>NSTRUCTION-RELATED VARIABLES AND THE TEACHING OF PHYSICAL EDUCATION IN SECONDARY SCHOOLS IN IBIONO IBOM LOCAL GOVERNMENT AREA OF AKWA IBOM STATE, NIGERIA</w:t>
      </w:r>
    </w:p>
    <w:p w:rsidR="00960639" w:rsidRPr="00015EFA" w:rsidRDefault="00960639" w:rsidP="007137CC">
      <w:pPr>
        <w:spacing w:after="0" w:line="240" w:lineRule="auto"/>
        <w:jc w:val="center"/>
        <w:rPr>
          <w:rFonts w:ascii="Times New Roman" w:hAnsi="Times New Roman" w:cs="Times New Roman"/>
          <w:b/>
          <w:bCs/>
          <w:sz w:val="12"/>
          <w:szCs w:val="26"/>
        </w:rPr>
      </w:pPr>
    </w:p>
    <w:p w:rsidR="00372A53" w:rsidRPr="00210BD3" w:rsidRDefault="00372A53"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b/>
          <w:bCs/>
          <w:sz w:val="26"/>
          <w:szCs w:val="26"/>
        </w:rPr>
        <w:t>Odok, E. A.</w:t>
      </w:r>
    </w:p>
    <w:p w:rsidR="00372A53" w:rsidRPr="00210BD3" w:rsidRDefault="00372A53"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sz w:val="26"/>
          <w:szCs w:val="26"/>
        </w:rPr>
        <w:t>Department of Human Kinetics and Health Education</w:t>
      </w:r>
    </w:p>
    <w:p w:rsidR="00372A53" w:rsidRPr="00210BD3" w:rsidRDefault="00372A53" w:rsidP="007137CC">
      <w:pPr>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University of Calabar</w:t>
      </w:r>
    </w:p>
    <w:p w:rsidR="00372A53" w:rsidRPr="00210BD3" w:rsidRDefault="00372A53" w:rsidP="007137CC">
      <w:pPr>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 xml:space="preserve">E-mail: </w:t>
      </w:r>
      <w:hyperlink r:id="rId20" w:history="1">
        <w:r w:rsidRPr="00210BD3">
          <w:rPr>
            <w:rStyle w:val="15"/>
            <w:rFonts w:ascii="Times New Roman" w:hAnsi="Times New Roman" w:cs="Times New Roman"/>
            <w:sz w:val="26"/>
            <w:szCs w:val="26"/>
          </w:rPr>
          <w:t>odokedmondasu@gmail.com</w:t>
        </w:r>
      </w:hyperlink>
    </w:p>
    <w:p w:rsidR="00372A53" w:rsidRPr="00210BD3" w:rsidRDefault="00372A53"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bCs/>
          <w:sz w:val="26"/>
          <w:szCs w:val="26"/>
        </w:rPr>
        <w:t> 08037928649; 07055051900</w:t>
      </w:r>
    </w:p>
    <w:p w:rsidR="00372A53" w:rsidRPr="00210BD3" w:rsidRDefault="00372A53" w:rsidP="007137CC">
      <w:pPr>
        <w:spacing w:after="0" w:line="240" w:lineRule="auto"/>
        <w:jc w:val="center"/>
        <w:rPr>
          <w:rFonts w:ascii="Times New Roman" w:hAnsi="Times New Roman" w:cs="Times New Roman"/>
          <w:b/>
          <w:bCs/>
          <w:sz w:val="26"/>
          <w:szCs w:val="26"/>
        </w:rPr>
      </w:pPr>
    </w:p>
    <w:p w:rsidR="00372A53" w:rsidRPr="00210BD3" w:rsidRDefault="00372A53"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b/>
          <w:bCs/>
          <w:sz w:val="26"/>
          <w:szCs w:val="26"/>
        </w:rPr>
        <w:t>Ekpo, Effiom Eyo</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Institute of Public Policy and Administration</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University of Calabar</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E-mail: effiomeyoe@gmail.com</w:t>
      </w:r>
    </w:p>
    <w:p w:rsidR="00372A53" w:rsidRPr="00015EFA" w:rsidRDefault="00372A53" w:rsidP="007137CC">
      <w:pPr>
        <w:spacing w:after="0" w:line="240" w:lineRule="auto"/>
        <w:jc w:val="center"/>
        <w:rPr>
          <w:rFonts w:ascii="Times New Roman" w:hAnsi="Times New Roman" w:cs="Times New Roman"/>
          <w:b/>
          <w:bCs/>
          <w:sz w:val="14"/>
          <w:szCs w:val="26"/>
        </w:rPr>
      </w:pPr>
    </w:p>
    <w:p w:rsidR="00372A53" w:rsidRPr="00210BD3" w:rsidRDefault="002C587E" w:rsidP="007137CC">
      <w:pPr>
        <w:spacing w:after="0" w:line="240" w:lineRule="auto"/>
        <w:rPr>
          <w:rFonts w:ascii="Times New Roman" w:hAnsi="Times New Roman" w:cs="Times New Roman"/>
          <w:b/>
          <w:bCs/>
          <w:sz w:val="26"/>
          <w:szCs w:val="26"/>
        </w:rPr>
      </w:pPr>
      <w:r w:rsidRPr="00210BD3">
        <w:rPr>
          <w:rFonts w:ascii="Times New Roman" w:hAnsi="Times New Roman" w:cs="Times New Roman"/>
          <w:b/>
          <w:bCs/>
          <w:sz w:val="26"/>
          <w:szCs w:val="26"/>
        </w:rPr>
        <w:tab/>
      </w:r>
      <w:r w:rsidRPr="00210BD3">
        <w:rPr>
          <w:rFonts w:ascii="Times New Roman" w:hAnsi="Times New Roman" w:cs="Times New Roman"/>
          <w:b/>
          <w:bCs/>
          <w:sz w:val="26"/>
          <w:szCs w:val="26"/>
        </w:rPr>
        <w:tab/>
      </w:r>
      <w:r w:rsidRPr="00210BD3">
        <w:rPr>
          <w:rFonts w:ascii="Times New Roman" w:hAnsi="Times New Roman" w:cs="Times New Roman"/>
          <w:b/>
          <w:bCs/>
          <w:sz w:val="26"/>
          <w:szCs w:val="26"/>
        </w:rPr>
        <w:tab/>
      </w:r>
      <w:r w:rsidR="00372A53" w:rsidRPr="00210BD3">
        <w:rPr>
          <w:rFonts w:ascii="Times New Roman" w:hAnsi="Times New Roman" w:cs="Times New Roman"/>
          <w:b/>
          <w:bCs/>
          <w:sz w:val="26"/>
          <w:szCs w:val="26"/>
        </w:rPr>
        <w:t>Onabe, Deborah Bombum</w:t>
      </w:r>
      <w:r w:rsidR="00666C99" w:rsidRPr="00210BD3">
        <w:rPr>
          <w:rFonts w:ascii="Times New Roman" w:hAnsi="Times New Roman" w:cs="Times New Roman"/>
          <w:b/>
          <w:bCs/>
          <w:sz w:val="26"/>
          <w:szCs w:val="26"/>
        </w:rPr>
        <w:t>(Corresponding Author)</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Department of Educational Management</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University of Calabar</w:t>
      </w:r>
    </w:p>
    <w:p w:rsidR="00372A53" w:rsidRPr="00210BD3" w:rsidRDefault="00372A53"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E-mail: Deborahonabe17@gmail.com</w:t>
      </w:r>
    </w:p>
    <w:p w:rsidR="00372A53" w:rsidRPr="00210BD3" w:rsidRDefault="00372A53" w:rsidP="007137CC">
      <w:pPr>
        <w:spacing w:after="0" w:line="240" w:lineRule="auto"/>
        <w:jc w:val="center"/>
        <w:rPr>
          <w:rFonts w:ascii="Times New Roman" w:hAnsi="Times New Roman" w:cs="Times New Roman"/>
          <w:b/>
          <w:bCs/>
          <w:sz w:val="26"/>
          <w:szCs w:val="26"/>
        </w:rPr>
      </w:pPr>
    </w:p>
    <w:p w:rsidR="00372A53" w:rsidRPr="00210BD3" w:rsidRDefault="00372A53"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b/>
          <w:bCs/>
          <w:sz w:val="26"/>
          <w:szCs w:val="26"/>
        </w:rPr>
        <w:t>Abstract</w:t>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 study investigated </w:t>
      </w:r>
      <w:r w:rsidRPr="00210BD3">
        <w:rPr>
          <w:rFonts w:ascii="Times New Roman" w:hAnsi="Times New Roman" w:cs="Times New Roman"/>
          <w:color w:val="000000"/>
          <w:sz w:val="26"/>
          <w:szCs w:val="26"/>
        </w:rPr>
        <w:t>i</w:t>
      </w:r>
      <w:r w:rsidRPr="00210BD3">
        <w:rPr>
          <w:rFonts w:ascii="Times New Roman" w:hAnsi="Times New Roman" w:cs="Times New Roman"/>
          <w:sz w:val="26"/>
          <w:szCs w:val="26"/>
        </w:rPr>
        <w:t xml:space="preserve">nstruction-related variables and the teaching of Physical Education in secondary schools in Ibiono Ibom Local Government Area of Akwa Ibom State, Nigeria. The study tested two null hypotheses at .05 levels of significance. Literature was reviewed in accordance with the variables of the study. The survey research design was adopted for the study. Simple random sampling technique was adopted to select six public secondary schools while systematic random sampling technique was adopted to select 228 respondents. A structured questionnaire generated data for the study. The instrument was subjected to validation by two professionals in Human Kinetics and Health Education, and an expert in measurement and evaluation. Pearson product moment correlation statistical tool was utilized for data analysis. Findings reveal that significant relationship exist between availability of instructional materials, knowledge of subject matter and teaching of Physical Education in public secondary schools. Based on the findings of this study, it is concluded that </w:t>
      </w:r>
      <w:r w:rsidRPr="00210BD3">
        <w:rPr>
          <w:rFonts w:ascii="Times New Roman" w:hAnsi="Times New Roman" w:cs="Times New Roman"/>
          <w:color w:val="000000"/>
          <w:sz w:val="26"/>
          <w:szCs w:val="26"/>
        </w:rPr>
        <w:t>i</w:t>
      </w:r>
      <w:r w:rsidRPr="00210BD3">
        <w:rPr>
          <w:rFonts w:ascii="Times New Roman" w:hAnsi="Times New Roman" w:cs="Times New Roman"/>
          <w:sz w:val="26"/>
          <w:szCs w:val="26"/>
        </w:rPr>
        <w:t>nstruction-related variables can enhance effective teaching of Physical Education in secondary schools. It is further concluded that it will benefit instructional process in the school system when instructional materials are made available with teachers’ knowledge of subject matter considered in the teaching of Physical Education in public secondary schools. Based on these findings it is recommended among others that s</w:t>
      </w:r>
      <w:r w:rsidRPr="00210BD3">
        <w:rPr>
          <w:rFonts w:ascii="Times New Roman" w:hAnsi="Times New Roman" w:cs="Times New Roman"/>
          <w:color w:val="000000"/>
          <w:sz w:val="26"/>
          <w:szCs w:val="26"/>
        </w:rPr>
        <w:t>chool administrators should ensure that only teachers with sound knowledge are recruited, trained and retrained in order to ensure competence and promote the teaching of Physical Education.</w:t>
      </w:r>
    </w:p>
    <w:p w:rsidR="00D839F5" w:rsidRPr="00210BD3" w:rsidRDefault="00D839F5" w:rsidP="007137CC">
      <w:pPr>
        <w:spacing w:after="0" w:line="240" w:lineRule="auto"/>
        <w:jc w:val="both"/>
        <w:rPr>
          <w:rFonts w:ascii="Times New Roman" w:hAnsi="Times New Roman" w:cs="Times New Roman"/>
          <w:b/>
          <w:bCs/>
          <w:sz w:val="26"/>
          <w:szCs w:val="26"/>
        </w:rPr>
      </w:pPr>
    </w:p>
    <w:p w:rsidR="00372A53" w:rsidRPr="00210BD3" w:rsidRDefault="00372A53" w:rsidP="007137CC">
      <w:pPr>
        <w:spacing w:after="0" w:line="240" w:lineRule="auto"/>
        <w:jc w:val="both"/>
        <w:rPr>
          <w:rFonts w:ascii="Times New Roman" w:hAnsi="Times New Roman" w:cs="Times New Roman"/>
          <w:b/>
          <w:color w:val="000000"/>
          <w:sz w:val="26"/>
          <w:szCs w:val="26"/>
        </w:rPr>
      </w:pPr>
      <w:r w:rsidRPr="00210BD3">
        <w:rPr>
          <w:rFonts w:ascii="Times New Roman" w:hAnsi="Times New Roman" w:cs="Times New Roman"/>
          <w:b/>
          <w:bCs/>
          <w:sz w:val="26"/>
          <w:szCs w:val="26"/>
        </w:rPr>
        <w:lastRenderedPageBreak/>
        <w:t>Keywords:</w:t>
      </w:r>
      <w:r w:rsidRPr="00210BD3">
        <w:rPr>
          <w:rFonts w:ascii="Times New Roman" w:hAnsi="Times New Roman" w:cs="Times New Roman"/>
          <w:b/>
          <w:bCs/>
          <w:sz w:val="26"/>
          <w:szCs w:val="26"/>
        </w:rPr>
        <w:tab/>
      </w:r>
      <w:r w:rsidRPr="00210BD3">
        <w:rPr>
          <w:rFonts w:ascii="Times New Roman" w:hAnsi="Times New Roman" w:cs="Times New Roman"/>
          <w:color w:val="000000"/>
          <w:sz w:val="26"/>
          <w:szCs w:val="26"/>
        </w:rPr>
        <w:t>I</w:t>
      </w:r>
      <w:r w:rsidRPr="00210BD3">
        <w:rPr>
          <w:rFonts w:ascii="Times New Roman" w:hAnsi="Times New Roman" w:cs="Times New Roman"/>
          <w:sz w:val="26"/>
          <w:szCs w:val="26"/>
        </w:rPr>
        <w:t>nstruction-related variables</w:t>
      </w:r>
      <w:r w:rsidRPr="00210BD3">
        <w:rPr>
          <w:rFonts w:ascii="Times New Roman" w:hAnsi="Times New Roman" w:cs="Times New Roman"/>
          <w:color w:val="000000"/>
          <w:sz w:val="26"/>
          <w:szCs w:val="26"/>
        </w:rPr>
        <w:t xml:space="preserve">, </w:t>
      </w:r>
      <w:r w:rsidRPr="00210BD3">
        <w:rPr>
          <w:rFonts w:ascii="Times New Roman" w:hAnsi="Times New Roman" w:cs="Times New Roman"/>
          <w:sz w:val="26"/>
          <w:szCs w:val="26"/>
        </w:rPr>
        <w:t>physical education</w:t>
      </w:r>
      <w:r w:rsidRPr="00210BD3">
        <w:rPr>
          <w:rFonts w:ascii="Times New Roman" w:hAnsi="Times New Roman" w:cs="Times New Roman"/>
          <w:color w:val="000000"/>
          <w:sz w:val="26"/>
          <w:szCs w:val="26"/>
        </w:rPr>
        <w:t xml:space="preserve">, </w:t>
      </w:r>
      <w:r w:rsidRPr="00210BD3">
        <w:rPr>
          <w:rFonts w:ascii="Times New Roman" w:hAnsi="Times New Roman" w:cs="Times New Roman"/>
          <w:sz w:val="26"/>
          <w:szCs w:val="26"/>
        </w:rPr>
        <w:t>availability of instructional materials, knowledge of subject matter</w:t>
      </w:r>
    </w:p>
    <w:p w:rsidR="00754AB4" w:rsidRPr="00210BD3" w:rsidRDefault="00754AB4" w:rsidP="007137CC">
      <w:pPr>
        <w:spacing w:after="0" w:line="240" w:lineRule="auto"/>
        <w:jc w:val="both"/>
        <w:rPr>
          <w:rFonts w:ascii="Times New Roman" w:hAnsi="Times New Roman" w:cs="Times New Roman"/>
          <w:b/>
          <w:bCs/>
          <w:sz w:val="26"/>
          <w:szCs w:val="26"/>
        </w:rPr>
      </w:pPr>
    </w:p>
    <w:p w:rsidR="008723A9" w:rsidRDefault="008723A9" w:rsidP="007137CC">
      <w:pPr>
        <w:spacing w:after="0" w:line="240" w:lineRule="auto"/>
        <w:jc w:val="both"/>
        <w:rPr>
          <w:rFonts w:ascii="Times New Roman" w:hAnsi="Times New Roman" w:cs="Times New Roman"/>
          <w:b/>
          <w:bCs/>
          <w:sz w:val="26"/>
          <w:szCs w:val="26"/>
        </w:rPr>
        <w:sectPr w:rsidR="008723A9" w:rsidSect="00210BD3">
          <w:type w:val="continuous"/>
          <w:pgSz w:w="12240" w:h="15840" w:code="1"/>
          <w:pgMar w:top="1440" w:right="1440" w:bottom="1440" w:left="1440" w:header="706" w:footer="706" w:gutter="0"/>
          <w:cols w:space="708"/>
          <w:docGrid w:linePitch="360"/>
        </w:sectPr>
      </w:pPr>
    </w:p>
    <w:p w:rsidR="00372A53" w:rsidRPr="00210BD3" w:rsidRDefault="00372A53"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lastRenderedPageBreak/>
        <w:t>Introduction</w:t>
      </w:r>
    </w:p>
    <w:p w:rsidR="00372A53" w:rsidRPr="00210BD3" w:rsidRDefault="00372A53" w:rsidP="007137CC">
      <w:pPr>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Physical Education is a systematic instruction in sports, training, practice, gymnastics, exercises, and hygiene given as part of a school or college program. Physical Education is the study, practice, and appreciation of the art and science of human movement (Hardman, 2018). In most schools, physical education is usually referred to by the abbreviation PE. The teacher is considered to be the major and first instrument in education. School relies upon the teacher in preparing generations of students and in facing problems that hinder their ability to perform duties represented in student progress and leveraging their level that is why the quality of teachers employed is vital for effective service delivery (Ekpo, Egbula and Abang, 2016). There is no doubt that physical education carries a primary significance among the entire student body with all their differences, status and experience. Thus, teacher is the corner stone in learning and teaching, and the most important factor in education process. This requires the availability of an effective teacher who seeks to be competent and influential. His desire stems from professional commitment to provide the best education possible to his student on one hand, and to his need in facing regulatory process and situations of management in learning environment; on the other hand this enhances and boost the development of human capabilities (Ekpo, Nnaji, Onabe and Ovat, 2023).</w:t>
      </w:r>
    </w:p>
    <w:p w:rsidR="00372A53" w:rsidRPr="00210BD3" w:rsidRDefault="00372A53" w:rsidP="007137CC">
      <w:pPr>
        <w:spacing w:after="0" w:line="240" w:lineRule="auto"/>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ab/>
        <w:t xml:space="preserve">The combination of the decline in fitness standards of young people, high </w:t>
      </w:r>
      <w:r w:rsidRPr="00210BD3">
        <w:rPr>
          <w:rFonts w:ascii="Times New Roman" w:hAnsi="Times New Roman" w:cs="Times New Roman"/>
          <w:color w:val="000000"/>
          <w:sz w:val="26"/>
          <w:szCs w:val="26"/>
        </w:rPr>
        <w:lastRenderedPageBreak/>
        <w:t xml:space="preserve">drop-out rates, and inadequate pathways to accessing physical activity and the substantial increase in the prevalence of overweight and obesity among children and adolescents around the world undoubtedly equates to a growing concern. Therefore, it is not only schools that have been identified as having a key role to play, but it is also apparent that physical educators are becoming more accountable than ever before as their role continues to evolve and they pursue opportunities to facilitate activities that engage students and provide education on lifestyle choices and healthy behaviors. Schools are learning environments with the capacity to equip students with these attributes. However, it is the quality of the programs in schools that will ensure that young people are given the opportunities to become physically-educated individuals (Dan, </w:t>
      </w:r>
      <w:r w:rsidRPr="00210BD3">
        <w:rPr>
          <w:rFonts w:ascii="Times New Roman" w:hAnsi="Times New Roman" w:cs="Times New Roman"/>
          <w:sz w:val="26"/>
          <w:szCs w:val="26"/>
        </w:rPr>
        <w:t xml:space="preserve">Odok, Osaji, </w:t>
      </w:r>
      <w:r w:rsidRPr="00210BD3">
        <w:rPr>
          <w:rFonts w:ascii="Times New Roman" w:hAnsi="Times New Roman" w:cs="Times New Roman"/>
          <w:bCs/>
          <w:sz w:val="26"/>
          <w:szCs w:val="26"/>
        </w:rPr>
        <w:t xml:space="preserve">Odey &amp; Iso, </w:t>
      </w:r>
      <w:r w:rsidRPr="00210BD3">
        <w:rPr>
          <w:rFonts w:ascii="Times New Roman" w:hAnsi="Times New Roman" w:cs="Times New Roman"/>
          <w:sz w:val="26"/>
          <w:szCs w:val="26"/>
        </w:rPr>
        <w:t>2024</w:t>
      </w:r>
      <w:r w:rsidRPr="00210BD3">
        <w:rPr>
          <w:rFonts w:ascii="Times New Roman" w:hAnsi="Times New Roman" w:cs="Times New Roman"/>
          <w:color w:val="000000"/>
          <w:sz w:val="26"/>
          <w:szCs w:val="26"/>
        </w:rPr>
        <w:t xml:space="preserve">). </w:t>
      </w:r>
    </w:p>
    <w:p w:rsidR="00372A53" w:rsidRPr="00210BD3" w:rsidRDefault="00372A53" w:rsidP="007137CC">
      <w:pPr>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 xml:space="preserve">Barriers within schools that restrict teachers providing physical education programs have been classified as either institutional (outside the teachers’ control) or teacher-related (arising from the teachers’ behaviour). The simplicity of this classification enables it to be applied to secondary school settings. Efficient performance of physical education and sports programs in secondary schools encompass the determination, allocation and development of funds for the achievement of the school sports programs. Sport program requires a stable finance from time to time, simply because facilities such as courts and </w:t>
      </w:r>
      <w:r w:rsidRPr="00210BD3">
        <w:rPr>
          <w:rFonts w:ascii="Times New Roman" w:hAnsi="Times New Roman" w:cs="Times New Roman"/>
          <w:color w:val="000000"/>
          <w:sz w:val="26"/>
          <w:szCs w:val="26"/>
        </w:rPr>
        <w:lastRenderedPageBreak/>
        <w:t xml:space="preserve">pitches are constructed and maintained for the use of the students. Equipment such as balls, nets, javelin, rackets, hockey sticks, bats, gymnastic and athletic (track and field) materials require either purchasing, replacement or repairs. Bucher and Krotee (2018) opined that facilities should be planned and constructed with an eye to the future. Too often, facilities are constructed and out-grown their use within a very short time. Most facilities constructed in our secondary schools are very difficult to expand or exchanged. </w:t>
      </w:r>
    </w:p>
    <w:p w:rsidR="00372A53" w:rsidRPr="00210BD3" w:rsidRDefault="00372A53" w:rsidP="007137CC">
      <w:pPr>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The funding and the provision of instructional materials have been identified as important component of effective teaching/learning in school (Onabe, Ekpo, Akuh and Edoho, 2024). The availability of these materials will enable the teacher to present instructional contents clearly to the learners with level high level of comprehension and application of such information by learners. A teacher’s knowledge of subject matter is very important in the effective teaching of Physical Education. It is often said that no education can rise above the level of its teachers. The learners see the teacher as a role model, who has vast knowledge in the subject and who should be able to transmit such knowledge to them to enable them know more. The level of knowledge a teacher possesses will determine his/her ability to effective deliver instructional contents to the learners. This is the reason why a teacher’s knowledge of subject matter is usually considered a vital factor in the success or failure of an educational programme in school.</w:t>
      </w:r>
    </w:p>
    <w:p w:rsidR="00372A53" w:rsidRPr="00210BD3" w:rsidRDefault="00372A53" w:rsidP="007137CC">
      <w:pPr>
        <w:spacing w:after="0" w:line="240" w:lineRule="auto"/>
        <w:ind w:firstLine="732"/>
        <w:jc w:val="both"/>
        <w:rPr>
          <w:sz w:val="26"/>
          <w:szCs w:val="26"/>
        </w:rPr>
      </w:pPr>
      <w:r w:rsidRPr="00015EFA">
        <w:rPr>
          <w:rFonts w:ascii="Times New Roman" w:hAnsi="Times New Roman" w:cs="Times New Roman"/>
          <w:sz w:val="26"/>
          <w:szCs w:val="26"/>
        </w:rPr>
        <w:t xml:space="preserve"> Instructional materials are teaching materials or teaching aids which </w:t>
      </w:r>
      <w:r w:rsidRPr="00015EFA">
        <w:rPr>
          <w:rFonts w:ascii="Times New Roman" w:hAnsi="Times New Roman" w:cs="Times New Roman"/>
          <w:sz w:val="26"/>
          <w:szCs w:val="26"/>
        </w:rPr>
        <w:lastRenderedPageBreak/>
        <w:t>teachers utilize to assist them in the realization of set objective of any lesson. The planning of a lesson by a teacher is dependent on the availability and effective use of learning resources. Lack of these resources in our school has been a major problem in the instructional process. Ideally, no effective education can take place without equipment, facilities, materials etc. They are indispensable tools to good teaching and learning (Umoren, 2015). The use of instructional material in teaching enables learners to develop problem-solving skills and positive attitudes, and to develop functional knowledge and manipulative skills. The acquisition of these skills is essential to the general preparation of youths for functional existence in society. Instructional resources refer to those objects that are familiar to learner and can be obtained locally. These materials may be categorized into three broad classes namely visuals, audios and audio-visual manipulative (Umoinyang, 2019</w:t>
      </w:r>
      <w:r w:rsidRPr="00210BD3">
        <w:rPr>
          <w:sz w:val="26"/>
          <w:szCs w:val="26"/>
        </w:rPr>
        <w:t xml:space="preserve">). </w:t>
      </w:r>
    </w:p>
    <w:p w:rsidR="00372A53" w:rsidRPr="00210BD3" w:rsidRDefault="00372A53" w:rsidP="007137CC">
      <w:pPr>
        <w:pStyle w:val="NoSpacing"/>
        <w:spacing w:before="0" w:beforeAutospacing="0"/>
        <w:ind w:firstLine="720"/>
        <w:jc w:val="both"/>
        <w:rPr>
          <w:sz w:val="26"/>
          <w:szCs w:val="26"/>
        </w:rPr>
      </w:pPr>
      <w:r w:rsidRPr="00210BD3">
        <w:rPr>
          <w:sz w:val="26"/>
          <w:szCs w:val="26"/>
        </w:rPr>
        <w:t xml:space="preserve">Textbooks have become the curriculum in every course. They dictate what is taught, how it is taught and when it is taught. Textbooks greatly reduce preparation time, simplify the question of what to teach and provide a structure and continuity for the different school subjects (Uche &amp; Umoren, 2015). Textbooks are invaluable tools for the over-worked classroom teachers. Most textbooks those days come with teachers' guide and teachers' resource package. These have proved handy to teachers for the preparation of their lessons. Essentially, it is a library of information which students can use to supplement the information provided in the classroom. </w:t>
      </w:r>
      <w:r w:rsidRPr="00210BD3">
        <w:rPr>
          <w:sz w:val="26"/>
          <w:szCs w:val="26"/>
        </w:rPr>
        <w:lastRenderedPageBreak/>
        <w:t>Some textbooks contain problems that serve as exercises to help students acquire problem solving skills. The benefits accruable from textbooks in teaching-learning situations are enormous and help to promote effective teaching and learning as well as subsequent achievement of instructional objectives (Akan, 2019).</w:t>
      </w:r>
    </w:p>
    <w:p w:rsidR="00372A53" w:rsidRPr="00210BD3" w:rsidRDefault="00372A53" w:rsidP="007137CC">
      <w:pPr>
        <w:pStyle w:val="NoSpacing"/>
        <w:spacing w:before="0" w:beforeAutospacing="0"/>
        <w:ind w:firstLine="720"/>
        <w:jc w:val="both"/>
        <w:rPr>
          <w:sz w:val="26"/>
          <w:szCs w:val="26"/>
        </w:rPr>
      </w:pPr>
      <w:r w:rsidRPr="00210BD3">
        <w:rPr>
          <w:sz w:val="26"/>
          <w:szCs w:val="26"/>
        </w:rPr>
        <w:t xml:space="preserve">The chalkboard is one of the most commonly used instructional media. Nowadays, they come in a wide variety including the felt board rolling chalkboard and the white board. The chalkboard may be challenged more by increasing emphasis on information technology. This has lead to increasing competition from the overhead projectors, multi-media instructional packages, and personal computers and felt boards (Ikem, 2018). The author further revealed that despite this strong wave of competing technologies, the chalkboard may remain the commonest and most handy medium in the classroom for quite some decades. The advantage the chalkboard has over other competing instructional media is its high level of flexibility in terms of erasing mistakes committed and illustrating concepts. Clearly, this promotes effective learning and improved academic performance of students due to high level of understanding of new and existing concepts. </w:t>
      </w:r>
    </w:p>
    <w:p w:rsidR="00372A53" w:rsidRPr="00210BD3" w:rsidRDefault="00372A5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The study by Ewa (2018) examined the availability of instructional materials teaching of Physical Education in Enugu Education Zone of Enugu State, Nigeria. One research question and one hypothesis guided the study. The research question was answered using mean and grand mean ratings, while the </w:t>
      </w:r>
      <w:r w:rsidRPr="00210BD3">
        <w:rPr>
          <w:rFonts w:ascii="Times New Roman" w:hAnsi="Times New Roman" w:cs="Times New Roman"/>
          <w:sz w:val="26"/>
          <w:szCs w:val="26"/>
        </w:rPr>
        <w:lastRenderedPageBreak/>
        <w:t xml:space="preserve">hypothesis was tested using t-test statistics at .05 levels of significance and a critical value of 1.96. Descriptive survey research design was adopted for the study, using a researcher developed instrument tagged; availability of instructional materials and teaching of Physical Education Questionnaire (AIMTPEQ). The instrument was validated by 3 experts, 2 of them in Physical Education, and 1 in Measurement and Evaluation. The reliability of the instrument was determined using Cronbach Alpha. Alpha value was found to be 0.73, indicating high reliability of the instrument for the study. Results of data analysis indicated a significant influence of availability of instructional materials on teaching of Physical Education in Enugu Education Zone of Enugu State. </w:t>
      </w:r>
    </w:p>
    <w:p w:rsidR="00372A53" w:rsidRPr="00210BD3" w:rsidRDefault="00372A53" w:rsidP="007137CC">
      <w:pPr>
        <w:spacing w:after="0" w:line="240" w:lineRule="auto"/>
        <w:jc w:val="both"/>
        <w:rPr>
          <w:rFonts w:ascii="Times New Roman" w:hAnsi="Times New Roman" w:cs="Times New Roman"/>
          <w:color w:val="000000"/>
          <w:sz w:val="26"/>
          <w:szCs w:val="26"/>
        </w:rPr>
      </w:pPr>
      <w:r w:rsidRPr="00210BD3">
        <w:rPr>
          <w:rFonts w:ascii="Times New Roman" w:hAnsi="Times New Roman" w:cs="Times New Roman"/>
          <w:sz w:val="26"/>
          <w:szCs w:val="26"/>
        </w:rPr>
        <w:tab/>
      </w:r>
      <w:r w:rsidRPr="00210BD3">
        <w:rPr>
          <w:rFonts w:ascii="Times New Roman" w:hAnsi="Times New Roman" w:cs="Times New Roman"/>
          <w:color w:val="000000"/>
          <w:sz w:val="26"/>
          <w:szCs w:val="26"/>
        </w:rPr>
        <w:t xml:space="preserve">Instructional materials are all the tools which are needed by the teacher to provide help and encouragement to students’ learning activities. In the words of Ureme (2018), instructional materials are resources or teaching materials, which a teacher utilizes in the course of presenting a lesson in order to make the content of the lesson understandable to the learners. The implication is that the use of instructional materials is inevitable if effective teaching and learning must be achieved. Instructional materials range from home made devices to sophisticated machines and also people who assist the teacher in disseminating knowledge and information to help learners learn meaningfully (Ololobou, 2018). Since the sense organs of learners are gateways to learning, materials provide learners the opportunity to become actively </w:t>
      </w:r>
      <w:r w:rsidRPr="00210BD3">
        <w:rPr>
          <w:rFonts w:ascii="Times New Roman" w:hAnsi="Times New Roman" w:cs="Times New Roman"/>
          <w:color w:val="000000"/>
          <w:sz w:val="26"/>
          <w:szCs w:val="26"/>
        </w:rPr>
        <w:lastRenderedPageBreak/>
        <w:t>involved intellectually, perceptually and physically in the instructional process.</w:t>
      </w:r>
    </w:p>
    <w:p w:rsidR="00372A53" w:rsidRPr="00210BD3" w:rsidRDefault="00372A53" w:rsidP="007137CC">
      <w:pPr>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 xml:space="preserve">The importance of the use of these materials cannot be underscored. This has been emphasized by a number of scholars. Lockheed (2021) reported that instructional materials are critical ingredients in learning and that the curriculum could not be easily implemented without them. Similar sentiments are shared by Steel (2013) who asserts that relevant instructional materials enable the learners to have a clear understanding of Conflict and Conflict Resolution. Instructional materials are essential since they help the teacher and learners avoid overemphasis on recitation and rote learning that can easily dominate a lesson. Resource materials allow learners to have practical experiences which help them to develop skills and concepts and to work in a variety of ways. </w:t>
      </w:r>
    </w:p>
    <w:p w:rsidR="00372A53" w:rsidRPr="00210BD3" w:rsidRDefault="00372A53" w:rsidP="007137CC">
      <w:pPr>
        <w:spacing w:after="0" w:line="240" w:lineRule="auto"/>
        <w:ind w:firstLine="720"/>
        <w:jc w:val="both"/>
        <w:rPr>
          <w:rFonts w:ascii="Times New Roman" w:hAnsi="Times New Roman" w:cs="Times New Roman"/>
          <w:color w:val="000000"/>
          <w:sz w:val="26"/>
          <w:szCs w:val="26"/>
        </w:rPr>
      </w:pPr>
    </w:p>
    <w:p w:rsidR="00372A53" w:rsidRPr="00210BD3" w:rsidRDefault="00372A53" w:rsidP="007137CC">
      <w:pPr>
        <w:pStyle w:val="NoSpacing"/>
        <w:spacing w:before="0" w:beforeAutospacing="0"/>
        <w:ind w:firstLine="720"/>
        <w:jc w:val="both"/>
        <w:rPr>
          <w:sz w:val="26"/>
          <w:szCs w:val="26"/>
        </w:rPr>
      </w:pPr>
      <w:r w:rsidRPr="00210BD3">
        <w:rPr>
          <w:sz w:val="26"/>
          <w:szCs w:val="26"/>
        </w:rPr>
        <w:t xml:space="preserve">One of the competences or skills for effective classroom instruction is the preparation made towards it. The teacher as a matter of duty has to study carefully and prepare for the subject matter to be taught. This may involve reading several resources to get in-depth knowledge of the subject matter and thereby equip the teacher in deciding the scope and details to be given to the students. Thereafter, he plans the entire process of communicating new knowledge to students (Umoh, 2016). This in effect means that, he will decide on the content to be given, the activities to be performed by the teachers as well as the students, materials that will enhance effective communication and the choice and level of language of communication. </w:t>
      </w:r>
      <w:r w:rsidRPr="00210BD3">
        <w:rPr>
          <w:sz w:val="26"/>
          <w:szCs w:val="26"/>
        </w:rPr>
        <w:lastRenderedPageBreak/>
        <w:t xml:space="preserve">He must also choose the most appropriate introduction that will stimulate and sustain students’ interest and decide on the mode of presentation that would effectively reiterate salient points. </w:t>
      </w:r>
    </w:p>
    <w:p w:rsidR="00372A53" w:rsidRPr="00210BD3" w:rsidRDefault="00372A53" w:rsidP="007137CC">
      <w:pPr>
        <w:pStyle w:val="NoSpacing"/>
        <w:spacing w:before="0" w:beforeAutospacing="0"/>
        <w:ind w:firstLine="720"/>
        <w:jc w:val="both"/>
        <w:rPr>
          <w:sz w:val="26"/>
          <w:szCs w:val="26"/>
        </w:rPr>
      </w:pPr>
      <w:r w:rsidRPr="00210BD3">
        <w:rPr>
          <w:sz w:val="26"/>
          <w:szCs w:val="26"/>
        </w:rPr>
        <w:t>These simple but importance steps serve to fortify the teacher for the tedious task of imparting knowledge. Adequate knowledge of subject matter to be presented help boost the teachers' teaching effectiveness in the classroom (Bisong, 2018). Joshua (2017) conducted a study on teachers' characteristics and effective teaching in secondary schools in Yakurr Local Government Area of Cross River State. The study used a sample of eighty three secondary schools teachers randomly selected from the study area. A twenty five item four-point scale questionnaire was the instrument used for data collection. In testing the hypothesis which stated that there is no significant relationship between teachers' knowledge of subject matter and their teaching effectiveness, Pearson Product moment correlation statistical tool was used for data analysis. The result obtained from analysis of data revealed that the calculated r-value of .326 is greater than the critical r-value of 0.196 when tested at .05 levels of significance with 81 degree of freedom. This implies that there is a significant relationship between teachers' knowledge of subject matter on their teaching effectiveness in secondary school in Yakurr Local Government Area of Cross River State.</w:t>
      </w:r>
    </w:p>
    <w:p w:rsidR="00372A53" w:rsidRPr="00210BD3" w:rsidRDefault="00372A53" w:rsidP="007137CC">
      <w:pPr>
        <w:pStyle w:val="NoSpacing"/>
        <w:spacing w:before="0" w:beforeAutospacing="0"/>
        <w:ind w:firstLine="720"/>
        <w:jc w:val="both"/>
        <w:rPr>
          <w:sz w:val="26"/>
          <w:szCs w:val="26"/>
        </w:rPr>
      </w:pPr>
      <w:r w:rsidRPr="00210BD3">
        <w:rPr>
          <w:sz w:val="26"/>
          <w:szCs w:val="26"/>
        </w:rPr>
        <w:t xml:space="preserve">One of the competences needed for effective teaching in our school system is having sound knowledge of the subject matter to be taught. To be competent presupposes knowledge </w:t>
      </w:r>
      <w:r w:rsidRPr="00210BD3">
        <w:rPr>
          <w:sz w:val="26"/>
          <w:szCs w:val="26"/>
        </w:rPr>
        <w:lastRenderedPageBreak/>
        <w:t xml:space="preserve">ability in the subject the teacher is trained to teach Competent teachers know the beliefs and principles underlying the subject matter, such will enable them to impact effectively the correct facts to students. Basic knowledge of subject matter also involves the ability to breakdown the subject matter into logical and smaller units which allows the students to understand clearly the content of what is taught (Shaw, 2018). </w:t>
      </w:r>
    </w:p>
    <w:p w:rsidR="00372A53" w:rsidRPr="00210BD3" w:rsidRDefault="00372A53" w:rsidP="007137CC">
      <w:pPr>
        <w:pStyle w:val="NoSpacing"/>
        <w:spacing w:before="0" w:beforeAutospacing="0"/>
        <w:ind w:firstLine="720"/>
        <w:jc w:val="both"/>
        <w:rPr>
          <w:sz w:val="26"/>
          <w:szCs w:val="26"/>
        </w:rPr>
      </w:pPr>
      <w:r w:rsidRPr="00210BD3">
        <w:rPr>
          <w:sz w:val="26"/>
          <w:szCs w:val="26"/>
        </w:rPr>
        <w:t xml:space="preserve">An understanding of fundamental principles and ideas of a subject appears to be the main road to adequate transfer of knowledge in relevant subject area. Such deep understanding of the subject is very important and it makes greater comprehension of the facts and concepts on the part of the students. Thus, there is the necessity for adequate training and scholarship on the part of the teacher in the subject matter. Afen (2018) conducted a study on factors that promote effective teaching in secondary schools in Obubra Local Government Area of Cross River State. The study used a sample of two hundred secondary school teachers randomly selected from the study area. A twenty item four-point scale questionnaire was the instrument used for data collection. Interesting the hypothesis which states that, there is no significant impact of sound knowledge on effective teaching; Pearson Product Moment Correlation Statistical Technique was used for data analysis. The result obtained from analysis of data revealed that, the calculated r-value of 0.356 is greater than the critical r-value of 0.196 when tested at .05 levels of significance with 198 degree of freedom. This implied that there is a significant </w:t>
      </w:r>
      <w:r w:rsidRPr="00210BD3">
        <w:rPr>
          <w:sz w:val="26"/>
          <w:szCs w:val="26"/>
        </w:rPr>
        <w:lastRenderedPageBreak/>
        <w:t xml:space="preserve">impact of teachers’ knowledge of subject matter on effective teaching in secondary schools in Obubra Local Government Area of Cross River State. </w:t>
      </w:r>
    </w:p>
    <w:p w:rsidR="00372A53" w:rsidRPr="00210BD3" w:rsidRDefault="00372A53" w:rsidP="007137CC">
      <w:pPr>
        <w:pStyle w:val="NoSpacing"/>
        <w:spacing w:before="0" w:beforeAutospacing="0"/>
        <w:ind w:firstLine="720"/>
        <w:jc w:val="both"/>
        <w:rPr>
          <w:sz w:val="26"/>
          <w:szCs w:val="26"/>
        </w:rPr>
      </w:pPr>
      <w:r w:rsidRPr="00210BD3">
        <w:rPr>
          <w:sz w:val="26"/>
          <w:szCs w:val="26"/>
        </w:rPr>
        <w:t>Subject matter mastery is a prerequisite for effective teaching of Physical Education in secondary schools. A teacher who is vested with relevant knowledge on the concepts, principles and practice of Physical Education is adequately prepared to impart students. The students depend on the teacher for guidance and look unto him to teach them what they never knew before. The ability of a teacher to define, explain and demonstrate concepts will promote the teaching of physical Education in secondary schools. A teacher’s knowledge of subject matter is considered pivotal in the implementation of Physical Education curriculum (Obaji, 2018). Among the competencies required for the smooth implementation of Physical Education curriculum, knowledge of subject matter ranks very high and could either ensure the success or failure of the teaching-learning session. A teacher with sound knowledge of subject matter is considered as role model to students who freely consult him for clarification of new and existing concepts in the subject. This emphasizes the need for teachers to undergo relevant training that would keep them abreast with new methods and principles guiding the teaching of Physical Education (Odok, Dan &amp; Bassey, 2024).</w:t>
      </w:r>
    </w:p>
    <w:p w:rsidR="005D2BFA" w:rsidRPr="00210BD3" w:rsidRDefault="005D2BFA" w:rsidP="007137CC">
      <w:pPr>
        <w:pStyle w:val="NoSpacing"/>
        <w:spacing w:before="0" w:beforeAutospacing="0"/>
        <w:jc w:val="both"/>
        <w:rPr>
          <w:b/>
          <w:sz w:val="26"/>
          <w:szCs w:val="26"/>
        </w:rPr>
      </w:pPr>
    </w:p>
    <w:p w:rsidR="00372A53" w:rsidRPr="00210BD3" w:rsidRDefault="00372A53" w:rsidP="007137CC">
      <w:pPr>
        <w:pStyle w:val="NoSpacing"/>
        <w:spacing w:before="0" w:beforeAutospacing="0"/>
        <w:ind w:hanging="425"/>
        <w:jc w:val="both"/>
        <w:rPr>
          <w:b/>
          <w:sz w:val="26"/>
          <w:szCs w:val="26"/>
        </w:rPr>
      </w:pPr>
      <w:r w:rsidRPr="00210BD3">
        <w:rPr>
          <w:b/>
          <w:sz w:val="26"/>
          <w:szCs w:val="26"/>
        </w:rPr>
        <w:t>Objectives of the study</w:t>
      </w:r>
    </w:p>
    <w:p w:rsidR="00372A53" w:rsidRPr="00210BD3" w:rsidRDefault="00372A53" w:rsidP="007137CC">
      <w:pPr>
        <w:pStyle w:val="ListParagraph"/>
        <w:numPr>
          <w:ilvl w:val="0"/>
          <w:numId w:val="3"/>
        </w:numPr>
        <w:spacing w:before="0" w:beforeAutospacing="0" w:after="0" w:line="240" w:lineRule="auto"/>
        <w:ind w:left="0" w:hanging="425"/>
        <w:jc w:val="both"/>
        <w:rPr>
          <w:rFonts w:ascii="Times New Roman" w:eastAsia="Calibri" w:hAnsi="Times New Roman"/>
          <w:sz w:val="26"/>
          <w:szCs w:val="26"/>
        </w:rPr>
      </w:pPr>
      <w:r w:rsidRPr="00210BD3">
        <w:rPr>
          <w:rFonts w:ascii="Times New Roman" w:eastAsia="Calibri" w:hAnsi="Times New Roman"/>
          <w:sz w:val="26"/>
          <w:szCs w:val="26"/>
        </w:rPr>
        <w:t>Determine the relationship between availability of instructional materials and the teaching of Physical Education.</w:t>
      </w:r>
    </w:p>
    <w:p w:rsidR="00372A53" w:rsidRPr="00210BD3" w:rsidRDefault="00372A53" w:rsidP="007137CC">
      <w:pPr>
        <w:pStyle w:val="ListParagraph"/>
        <w:spacing w:before="0" w:beforeAutospacing="0" w:after="0" w:line="240" w:lineRule="auto"/>
        <w:ind w:left="0" w:hanging="425"/>
        <w:jc w:val="both"/>
        <w:rPr>
          <w:rFonts w:ascii="Times New Roman" w:eastAsia="Calibri" w:hAnsi="Times New Roman"/>
          <w:sz w:val="26"/>
          <w:szCs w:val="26"/>
        </w:rPr>
      </w:pPr>
    </w:p>
    <w:p w:rsidR="00372A53" w:rsidRPr="00210BD3" w:rsidRDefault="00372A53" w:rsidP="007137CC">
      <w:pPr>
        <w:pStyle w:val="ListParagraph"/>
        <w:numPr>
          <w:ilvl w:val="0"/>
          <w:numId w:val="3"/>
        </w:numPr>
        <w:spacing w:before="0" w:beforeAutospacing="0" w:after="0" w:line="240" w:lineRule="auto"/>
        <w:ind w:left="0" w:hanging="425"/>
        <w:jc w:val="both"/>
        <w:rPr>
          <w:rFonts w:ascii="Times New Roman" w:eastAsia="Calibri" w:hAnsi="Times New Roman"/>
          <w:sz w:val="26"/>
          <w:szCs w:val="26"/>
        </w:rPr>
      </w:pPr>
      <w:r w:rsidRPr="00210BD3">
        <w:rPr>
          <w:rFonts w:ascii="Times New Roman" w:eastAsia="Calibri" w:hAnsi="Times New Roman"/>
          <w:sz w:val="26"/>
          <w:szCs w:val="26"/>
        </w:rPr>
        <w:lastRenderedPageBreak/>
        <w:t>Determine if Knowledge of subject matter relates with the teaching of Physical Education.</w:t>
      </w:r>
    </w:p>
    <w:p w:rsidR="00372A53" w:rsidRPr="00210BD3" w:rsidRDefault="00372A53"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ind w:hanging="450"/>
        <w:jc w:val="both"/>
        <w:rPr>
          <w:rFonts w:ascii="Times New Roman" w:hAnsi="Times New Roman" w:cs="Times New Roman"/>
          <w:b/>
          <w:bCs/>
          <w:sz w:val="26"/>
          <w:szCs w:val="26"/>
        </w:rPr>
      </w:pPr>
      <w:r w:rsidRPr="00210BD3">
        <w:rPr>
          <w:rFonts w:ascii="Times New Roman" w:hAnsi="Times New Roman" w:cs="Times New Roman"/>
          <w:b/>
          <w:bCs/>
          <w:sz w:val="26"/>
          <w:szCs w:val="26"/>
        </w:rPr>
        <w:t xml:space="preserve">Statement of hypotheses </w:t>
      </w:r>
    </w:p>
    <w:p w:rsidR="00372A53" w:rsidRPr="00210BD3" w:rsidRDefault="00372A53" w:rsidP="007137CC">
      <w:pPr>
        <w:pStyle w:val="ListParagraph"/>
        <w:numPr>
          <w:ilvl w:val="3"/>
          <w:numId w:val="3"/>
        </w:numPr>
        <w:spacing w:before="0" w:beforeAutospacing="0" w:after="0" w:line="240" w:lineRule="auto"/>
        <w:ind w:left="0" w:hanging="425"/>
        <w:jc w:val="both"/>
        <w:rPr>
          <w:rFonts w:ascii="Times New Roman" w:hAnsi="Times New Roman"/>
          <w:bCs/>
          <w:sz w:val="26"/>
          <w:szCs w:val="26"/>
        </w:rPr>
      </w:pPr>
      <w:r w:rsidRPr="00210BD3">
        <w:rPr>
          <w:rFonts w:ascii="Times New Roman" w:eastAsia="Calibri" w:hAnsi="Times New Roman"/>
          <w:sz w:val="26"/>
          <w:szCs w:val="26"/>
        </w:rPr>
        <w:t>There is no significant relationship between availability of instructional materials and the teaching of Physical Education.</w:t>
      </w:r>
    </w:p>
    <w:p w:rsidR="00372A53" w:rsidRPr="00210BD3" w:rsidRDefault="00372A53" w:rsidP="007137CC">
      <w:pPr>
        <w:pStyle w:val="ListParagraph"/>
        <w:spacing w:before="0" w:beforeAutospacing="0" w:after="0" w:line="240" w:lineRule="auto"/>
        <w:ind w:left="0" w:hanging="425"/>
        <w:jc w:val="both"/>
        <w:rPr>
          <w:rFonts w:ascii="Times New Roman" w:hAnsi="Times New Roman"/>
          <w:bCs/>
          <w:sz w:val="26"/>
          <w:szCs w:val="26"/>
        </w:rPr>
      </w:pPr>
    </w:p>
    <w:p w:rsidR="00372A53" w:rsidRPr="00210BD3" w:rsidRDefault="00372A53" w:rsidP="007137CC">
      <w:pPr>
        <w:pStyle w:val="ListParagraph"/>
        <w:numPr>
          <w:ilvl w:val="3"/>
          <w:numId w:val="3"/>
        </w:numPr>
        <w:spacing w:before="0" w:beforeAutospacing="0" w:after="0" w:line="240" w:lineRule="auto"/>
        <w:ind w:left="0" w:hanging="425"/>
        <w:jc w:val="both"/>
        <w:rPr>
          <w:rFonts w:ascii="Times New Roman" w:eastAsia="SimSun" w:hAnsi="Times New Roman"/>
          <w:bCs/>
          <w:sz w:val="26"/>
          <w:szCs w:val="26"/>
        </w:rPr>
      </w:pPr>
      <w:r w:rsidRPr="00210BD3">
        <w:rPr>
          <w:rFonts w:ascii="Times New Roman" w:eastAsia="Calibri" w:hAnsi="Times New Roman"/>
          <w:sz w:val="26"/>
          <w:szCs w:val="26"/>
        </w:rPr>
        <w:t>Knowledge of subject matter does not significantly relate with the teaching of Physical Education.</w:t>
      </w:r>
    </w:p>
    <w:p w:rsidR="00372A53" w:rsidRPr="00210BD3" w:rsidRDefault="00372A53" w:rsidP="007137CC">
      <w:pPr>
        <w:pStyle w:val="NoSpacing"/>
        <w:spacing w:before="0" w:beforeAutospacing="0"/>
        <w:jc w:val="both"/>
        <w:rPr>
          <w:b/>
          <w:bCs/>
          <w:sz w:val="26"/>
          <w:szCs w:val="26"/>
        </w:rPr>
      </w:pPr>
    </w:p>
    <w:p w:rsidR="00372A53" w:rsidRPr="00210BD3" w:rsidRDefault="00372A53" w:rsidP="007137CC">
      <w:pPr>
        <w:pStyle w:val="NoSpacing"/>
        <w:spacing w:before="0" w:beforeAutospacing="0"/>
        <w:jc w:val="both"/>
        <w:rPr>
          <w:sz w:val="26"/>
          <w:szCs w:val="26"/>
        </w:rPr>
      </w:pPr>
      <w:r w:rsidRPr="00210BD3">
        <w:rPr>
          <w:b/>
          <w:bCs/>
          <w:sz w:val="26"/>
          <w:szCs w:val="26"/>
        </w:rPr>
        <w:t>Research methods</w:t>
      </w:r>
    </w:p>
    <w:p w:rsidR="00372A53" w:rsidRPr="00210BD3" w:rsidRDefault="00372A53" w:rsidP="007137CC">
      <w:pPr>
        <w:pStyle w:val="NoSpacing"/>
        <w:spacing w:before="0" w:beforeAutospacing="0"/>
        <w:ind w:firstLine="810"/>
        <w:jc w:val="both"/>
        <w:rPr>
          <w:sz w:val="26"/>
          <w:szCs w:val="26"/>
        </w:rPr>
      </w:pPr>
      <w:r w:rsidRPr="00210BD3">
        <w:rPr>
          <w:sz w:val="26"/>
          <w:szCs w:val="26"/>
        </w:rPr>
        <w:t xml:space="preserve">A survey research design was adopted for the study. This research design studies phenomena as they exist at the time of an investigation. The population of this study comprised of 3,274 junior secondary school students offering Physical Education in the 15 public secondary schools in Ibiono Ibom Local Government Area of Akwa Ibom State. The sample of this study comprised 226 junior secondary school students that were randomly selected from 6 public secondary schools in Ibiono Ibom Local Government Area of Akwa Ibom State. The instrument used for data collection is a questionnaire titled Instruction-related Variables and Teaching of Physical Education Questionnaire (IVTPEQ). It was divided </w:t>
      </w:r>
      <w:r w:rsidRPr="00210BD3">
        <w:rPr>
          <w:sz w:val="26"/>
          <w:szCs w:val="26"/>
        </w:rPr>
        <w:lastRenderedPageBreak/>
        <w:t>into two sections. The was designed using four-point scale of Strongly Agree (SA), Agree (A), Disagree (D) and Strongly Disagree (SD). It contained twenty items that measured the variables of the study. Items 1-5 measured availability of instructional materials. Items 6-10 measured knowledge of subject matter. Items 11-20 measured teaching of Physical Education in secondary schools.</w:t>
      </w:r>
    </w:p>
    <w:p w:rsidR="00E07698" w:rsidRPr="00210BD3" w:rsidRDefault="00E07698" w:rsidP="007137CC">
      <w:pPr>
        <w:spacing w:after="0" w:line="240" w:lineRule="auto"/>
        <w:jc w:val="both"/>
        <w:rPr>
          <w:rFonts w:ascii="Times New Roman" w:hAnsi="Times New Roman" w:cs="Times New Roman"/>
          <w:b/>
          <w:bCs/>
          <w:sz w:val="26"/>
          <w:szCs w:val="26"/>
        </w:rPr>
      </w:pPr>
    </w:p>
    <w:p w:rsidR="00372A53" w:rsidRPr="00210BD3" w:rsidRDefault="00372A53"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Results</w:t>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bCs/>
          <w:sz w:val="26"/>
          <w:szCs w:val="26"/>
        </w:rPr>
        <w:t>Hypothesis one</w:t>
      </w:r>
    </w:p>
    <w:p w:rsidR="00372A53" w:rsidRPr="00210BD3" w:rsidRDefault="00372A53" w:rsidP="007137CC">
      <w:pPr>
        <w:spacing w:after="0" w:line="240" w:lineRule="auto"/>
        <w:ind w:firstLine="360"/>
        <w:jc w:val="both"/>
        <w:rPr>
          <w:rFonts w:ascii="Times New Roman" w:hAnsi="Times New Roman" w:cs="Times New Roman"/>
          <w:sz w:val="26"/>
          <w:szCs w:val="26"/>
        </w:rPr>
      </w:pPr>
      <w:r w:rsidRPr="00210BD3">
        <w:rPr>
          <w:rFonts w:ascii="Times New Roman" w:hAnsi="Times New Roman" w:cs="Times New Roman"/>
          <w:sz w:val="26"/>
          <w:szCs w:val="26"/>
        </w:rPr>
        <w:tab/>
        <w:t>There is no significant relationship between availability of instructional materials and the teaching of Physical Education. The independent variable in this hypothesis is availability of instructional materials while the dependent variable is teaching of Physical Education. Pearson product moment correlation statistical tool was used for data analysis. The result of this analysis is presented in Table 1.</w:t>
      </w:r>
    </w:p>
    <w:p w:rsidR="00372A53" w:rsidRPr="00210BD3" w:rsidRDefault="00372A53" w:rsidP="007137CC">
      <w:pPr>
        <w:spacing w:after="0" w:line="240" w:lineRule="auto"/>
        <w:ind w:firstLine="360"/>
        <w:jc w:val="center"/>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Table 1: Pearson product moment correlation analysis of the relationship between availability of instructional materials and teaching of Physical Education in Ibiono-Ibom Local Government Area of Akwa Ibom State (N = 226)</w:t>
      </w:r>
    </w:p>
    <w:p w:rsidR="008723A9" w:rsidRDefault="008723A9" w:rsidP="007137CC">
      <w:pPr>
        <w:spacing w:after="0" w:line="240" w:lineRule="auto"/>
        <w:jc w:val="both"/>
        <w:rPr>
          <w:rFonts w:ascii="Times New Roman" w:hAnsi="Times New Roman" w:cs="Times New Roman"/>
          <w:sz w:val="26"/>
          <w:szCs w:val="26"/>
        </w:rPr>
        <w:sectPr w:rsidR="008723A9" w:rsidSect="008723A9">
          <w:type w:val="continuous"/>
          <w:pgSz w:w="12240" w:h="15840" w:code="1"/>
          <w:pgMar w:top="1440" w:right="1440" w:bottom="1440" w:left="1440" w:header="706" w:footer="706" w:gutter="0"/>
          <w:cols w:num="2" w:space="708"/>
          <w:docGrid w:linePitch="360"/>
        </w:sectPr>
      </w:pPr>
    </w:p>
    <w:p w:rsidR="00372A53" w:rsidRPr="00210BD3" w:rsidRDefault="00372A53" w:rsidP="007137CC">
      <w:pPr>
        <w:spacing w:after="0" w:line="240" w:lineRule="auto"/>
        <w:jc w:val="both"/>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tblBorders>
        <w:tblLook w:val="04A0"/>
      </w:tblPr>
      <w:tblGrid>
        <w:gridCol w:w="3674"/>
        <w:gridCol w:w="1155"/>
        <w:gridCol w:w="1155"/>
        <w:gridCol w:w="1155"/>
        <w:gridCol w:w="1251"/>
        <w:gridCol w:w="1186"/>
      </w:tblGrid>
      <w:tr w:rsidR="00372A53" w:rsidRPr="00210BD3" w:rsidTr="00D73698">
        <w:tc>
          <w:tcPr>
            <w:tcW w:w="1919" w:type="pct"/>
            <w:tcBorders>
              <w:top w:val="single" w:sz="4" w:space="0" w:color="auto"/>
              <w:left w:val="nil"/>
              <w:bottom w:val="single" w:sz="4" w:space="0" w:color="auto"/>
              <w:right w:val="nil"/>
            </w:tcBorders>
            <w:hideMark/>
          </w:tcPr>
          <w:p w:rsidR="00372A53" w:rsidRPr="00210BD3" w:rsidRDefault="00372A53" w:rsidP="007137CC">
            <w:pPr>
              <w:jc w:val="both"/>
              <w:rPr>
                <w:sz w:val="26"/>
                <w:szCs w:val="26"/>
              </w:rPr>
            </w:pPr>
            <w:r w:rsidRPr="00210BD3">
              <w:rPr>
                <w:sz w:val="26"/>
                <w:szCs w:val="26"/>
              </w:rPr>
              <w:t>Variables</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w:t>
            </w:r>
          </w:p>
          <w:p w:rsidR="00372A53" w:rsidRPr="00210BD3" w:rsidRDefault="00372A53" w:rsidP="007137CC">
            <w:pPr>
              <w:jc w:val="center"/>
              <w:rPr>
                <w:sz w:val="26"/>
                <w:szCs w:val="26"/>
              </w:rPr>
            </w:pPr>
            <w:r w:rsidRPr="00210BD3">
              <w:rPr>
                <w:sz w:val="26"/>
                <w:szCs w:val="26"/>
              </w:rPr>
              <w:t>∑y</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w:t>
            </w:r>
            <w:r w:rsidRPr="00210BD3">
              <w:rPr>
                <w:sz w:val="26"/>
                <w:szCs w:val="26"/>
                <w:vertAlign w:val="superscript"/>
              </w:rPr>
              <w:t>2</w:t>
            </w:r>
          </w:p>
          <w:p w:rsidR="00372A53" w:rsidRPr="00210BD3" w:rsidRDefault="00372A53" w:rsidP="007137CC">
            <w:pPr>
              <w:jc w:val="center"/>
              <w:rPr>
                <w:sz w:val="26"/>
                <w:szCs w:val="26"/>
              </w:rPr>
            </w:pPr>
            <w:r w:rsidRPr="00210BD3">
              <w:rPr>
                <w:sz w:val="26"/>
                <w:szCs w:val="26"/>
              </w:rPr>
              <w:t>∑y</w:t>
            </w:r>
            <w:r w:rsidRPr="00210BD3">
              <w:rPr>
                <w:sz w:val="26"/>
                <w:szCs w:val="26"/>
                <w:vertAlign w:val="superscript"/>
              </w:rPr>
              <w:t>2</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∑xy</w:t>
            </w:r>
          </w:p>
        </w:tc>
        <w:tc>
          <w:tcPr>
            <w:tcW w:w="65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Cal.r</w:t>
            </w:r>
          </w:p>
        </w:tc>
        <w:tc>
          <w:tcPr>
            <w:tcW w:w="619"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P.value</w:t>
            </w:r>
          </w:p>
        </w:tc>
      </w:tr>
      <w:tr w:rsidR="00372A53" w:rsidRPr="00210BD3" w:rsidTr="00D73698">
        <w:tc>
          <w:tcPr>
            <w:tcW w:w="1919" w:type="pct"/>
            <w:tcBorders>
              <w:top w:val="single" w:sz="4" w:space="0" w:color="auto"/>
              <w:left w:val="nil"/>
              <w:bottom w:val="nil"/>
              <w:right w:val="nil"/>
            </w:tcBorders>
            <w:hideMark/>
          </w:tcPr>
          <w:p w:rsidR="00372A53" w:rsidRPr="00210BD3" w:rsidRDefault="00372A53" w:rsidP="007137CC">
            <w:pPr>
              <w:jc w:val="both"/>
              <w:rPr>
                <w:sz w:val="26"/>
                <w:szCs w:val="26"/>
              </w:rPr>
            </w:pPr>
            <w:r w:rsidRPr="00210BD3">
              <w:rPr>
                <w:sz w:val="26"/>
                <w:szCs w:val="26"/>
              </w:rPr>
              <w:t>Availability of instructional materials</w:t>
            </w:r>
          </w:p>
        </w:tc>
        <w:tc>
          <w:tcPr>
            <w:tcW w:w="603" w:type="pct"/>
            <w:tcBorders>
              <w:top w:val="single" w:sz="4" w:space="0" w:color="auto"/>
              <w:left w:val="nil"/>
              <w:bottom w:val="nil"/>
              <w:right w:val="nil"/>
            </w:tcBorders>
            <w:hideMark/>
          </w:tcPr>
          <w:p w:rsidR="00372A53" w:rsidRPr="00210BD3" w:rsidRDefault="00372A53" w:rsidP="007137CC">
            <w:pPr>
              <w:jc w:val="center"/>
              <w:rPr>
                <w:sz w:val="26"/>
                <w:szCs w:val="26"/>
              </w:rPr>
            </w:pPr>
            <w:r w:rsidRPr="00210BD3">
              <w:rPr>
                <w:sz w:val="26"/>
                <w:szCs w:val="26"/>
              </w:rPr>
              <w:t>3473</w:t>
            </w:r>
          </w:p>
        </w:tc>
        <w:tc>
          <w:tcPr>
            <w:tcW w:w="603" w:type="pct"/>
            <w:tcBorders>
              <w:top w:val="single" w:sz="4" w:space="0" w:color="auto"/>
              <w:left w:val="nil"/>
              <w:bottom w:val="nil"/>
              <w:right w:val="nil"/>
            </w:tcBorders>
            <w:hideMark/>
          </w:tcPr>
          <w:p w:rsidR="00372A53" w:rsidRPr="00210BD3" w:rsidRDefault="00372A53" w:rsidP="007137CC">
            <w:pPr>
              <w:jc w:val="center"/>
              <w:rPr>
                <w:sz w:val="26"/>
                <w:szCs w:val="26"/>
              </w:rPr>
            </w:pPr>
            <w:r w:rsidRPr="00210BD3">
              <w:rPr>
                <w:sz w:val="26"/>
                <w:szCs w:val="26"/>
              </w:rPr>
              <w:t>4412</w:t>
            </w:r>
          </w:p>
        </w:tc>
        <w:tc>
          <w:tcPr>
            <w:tcW w:w="603" w:type="pct"/>
            <w:tcBorders>
              <w:top w:val="single" w:sz="4" w:space="0" w:color="auto"/>
              <w:left w:val="nil"/>
              <w:bottom w:val="nil"/>
              <w:right w:val="nil"/>
            </w:tcBorders>
          </w:tcPr>
          <w:p w:rsidR="00372A53" w:rsidRPr="00210BD3" w:rsidRDefault="00372A53" w:rsidP="007137CC">
            <w:pPr>
              <w:jc w:val="center"/>
              <w:rPr>
                <w:sz w:val="26"/>
                <w:szCs w:val="26"/>
              </w:rPr>
            </w:pPr>
          </w:p>
        </w:tc>
        <w:tc>
          <w:tcPr>
            <w:tcW w:w="653" w:type="pct"/>
            <w:tcBorders>
              <w:top w:val="single" w:sz="4" w:space="0" w:color="auto"/>
              <w:left w:val="nil"/>
              <w:bottom w:val="nil"/>
              <w:right w:val="nil"/>
            </w:tcBorders>
          </w:tcPr>
          <w:p w:rsidR="00372A53" w:rsidRPr="00210BD3" w:rsidRDefault="00372A53" w:rsidP="007137CC">
            <w:pPr>
              <w:jc w:val="center"/>
              <w:rPr>
                <w:sz w:val="26"/>
                <w:szCs w:val="26"/>
              </w:rPr>
            </w:pPr>
          </w:p>
        </w:tc>
        <w:tc>
          <w:tcPr>
            <w:tcW w:w="619" w:type="pct"/>
            <w:tcBorders>
              <w:top w:val="single" w:sz="4" w:space="0" w:color="auto"/>
              <w:left w:val="nil"/>
              <w:bottom w:val="nil"/>
              <w:right w:val="nil"/>
            </w:tcBorders>
          </w:tcPr>
          <w:p w:rsidR="00372A53" w:rsidRPr="00210BD3" w:rsidRDefault="00372A53" w:rsidP="007137CC">
            <w:pPr>
              <w:jc w:val="center"/>
              <w:rPr>
                <w:sz w:val="26"/>
                <w:szCs w:val="26"/>
              </w:rPr>
            </w:pPr>
          </w:p>
        </w:tc>
      </w:tr>
      <w:tr w:rsidR="00372A53" w:rsidRPr="00210BD3" w:rsidTr="00D73698">
        <w:tc>
          <w:tcPr>
            <w:tcW w:w="1919" w:type="pct"/>
            <w:tcBorders>
              <w:top w:val="nil"/>
              <w:left w:val="nil"/>
              <w:bottom w:val="nil"/>
              <w:right w:val="nil"/>
            </w:tcBorders>
          </w:tcPr>
          <w:p w:rsidR="00372A53" w:rsidRPr="00210BD3" w:rsidRDefault="00372A53" w:rsidP="007137CC">
            <w:pPr>
              <w:jc w:val="both"/>
              <w:rPr>
                <w:sz w:val="26"/>
                <w:szCs w:val="26"/>
              </w:rPr>
            </w:pPr>
          </w:p>
        </w:tc>
        <w:tc>
          <w:tcPr>
            <w:tcW w:w="603" w:type="pct"/>
            <w:tcBorders>
              <w:top w:val="nil"/>
              <w:left w:val="nil"/>
              <w:bottom w:val="nil"/>
              <w:right w:val="nil"/>
            </w:tcBorders>
          </w:tcPr>
          <w:p w:rsidR="00372A53" w:rsidRPr="00210BD3" w:rsidRDefault="00372A53" w:rsidP="007137CC">
            <w:pPr>
              <w:jc w:val="center"/>
              <w:rPr>
                <w:sz w:val="26"/>
                <w:szCs w:val="26"/>
              </w:rPr>
            </w:pPr>
          </w:p>
        </w:tc>
        <w:tc>
          <w:tcPr>
            <w:tcW w:w="603" w:type="pct"/>
            <w:tcBorders>
              <w:top w:val="nil"/>
              <w:left w:val="nil"/>
              <w:bottom w:val="nil"/>
              <w:right w:val="nil"/>
            </w:tcBorders>
          </w:tcPr>
          <w:p w:rsidR="00372A53" w:rsidRPr="00210BD3" w:rsidRDefault="00372A53" w:rsidP="007137CC">
            <w:pPr>
              <w:jc w:val="center"/>
              <w:rPr>
                <w:sz w:val="26"/>
                <w:szCs w:val="26"/>
              </w:rPr>
            </w:pPr>
          </w:p>
        </w:tc>
        <w:tc>
          <w:tcPr>
            <w:tcW w:w="603"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7724</w:t>
            </w:r>
          </w:p>
        </w:tc>
        <w:tc>
          <w:tcPr>
            <w:tcW w:w="653"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0.466*</w:t>
            </w:r>
          </w:p>
        </w:tc>
        <w:tc>
          <w:tcPr>
            <w:tcW w:w="619"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0.000</w:t>
            </w:r>
          </w:p>
        </w:tc>
      </w:tr>
      <w:tr w:rsidR="00372A53" w:rsidRPr="00210BD3" w:rsidTr="00D73698">
        <w:tc>
          <w:tcPr>
            <w:tcW w:w="1919" w:type="pct"/>
            <w:tcBorders>
              <w:top w:val="nil"/>
              <w:left w:val="nil"/>
              <w:bottom w:val="single" w:sz="4" w:space="0" w:color="auto"/>
              <w:right w:val="nil"/>
            </w:tcBorders>
            <w:hideMark/>
          </w:tcPr>
          <w:p w:rsidR="00372A53" w:rsidRPr="00210BD3" w:rsidRDefault="00372A53" w:rsidP="007137CC">
            <w:pPr>
              <w:jc w:val="both"/>
              <w:rPr>
                <w:sz w:val="26"/>
                <w:szCs w:val="26"/>
              </w:rPr>
            </w:pPr>
            <w:r w:rsidRPr="00210BD3">
              <w:rPr>
                <w:sz w:val="26"/>
                <w:szCs w:val="26"/>
              </w:rPr>
              <w:t>Teaching of Physical Education</w:t>
            </w:r>
          </w:p>
        </w:tc>
        <w:tc>
          <w:tcPr>
            <w:tcW w:w="603" w:type="pct"/>
            <w:tcBorders>
              <w:top w:val="nil"/>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5819</w:t>
            </w:r>
          </w:p>
        </w:tc>
        <w:tc>
          <w:tcPr>
            <w:tcW w:w="603" w:type="pct"/>
            <w:tcBorders>
              <w:top w:val="nil"/>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7261</w:t>
            </w:r>
          </w:p>
        </w:tc>
        <w:tc>
          <w:tcPr>
            <w:tcW w:w="603" w:type="pct"/>
            <w:tcBorders>
              <w:top w:val="nil"/>
              <w:left w:val="nil"/>
              <w:bottom w:val="single" w:sz="4" w:space="0" w:color="auto"/>
              <w:right w:val="nil"/>
            </w:tcBorders>
          </w:tcPr>
          <w:p w:rsidR="00372A53" w:rsidRPr="00210BD3" w:rsidRDefault="00372A53" w:rsidP="007137CC">
            <w:pPr>
              <w:jc w:val="center"/>
              <w:rPr>
                <w:sz w:val="26"/>
                <w:szCs w:val="26"/>
              </w:rPr>
            </w:pPr>
          </w:p>
        </w:tc>
        <w:tc>
          <w:tcPr>
            <w:tcW w:w="653" w:type="pct"/>
            <w:tcBorders>
              <w:top w:val="nil"/>
              <w:left w:val="nil"/>
              <w:bottom w:val="single" w:sz="4" w:space="0" w:color="auto"/>
              <w:right w:val="nil"/>
            </w:tcBorders>
          </w:tcPr>
          <w:p w:rsidR="00372A53" w:rsidRPr="00210BD3" w:rsidRDefault="00372A53" w:rsidP="007137CC">
            <w:pPr>
              <w:jc w:val="center"/>
              <w:rPr>
                <w:sz w:val="26"/>
                <w:szCs w:val="26"/>
              </w:rPr>
            </w:pPr>
          </w:p>
        </w:tc>
        <w:tc>
          <w:tcPr>
            <w:tcW w:w="619" w:type="pct"/>
            <w:tcBorders>
              <w:top w:val="nil"/>
              <w:left w:val="nil"/>
              <w:bottom w:val="single" w:sz="4" w:space="0" w:color="auto"/>
              <w:right w:val="nil"/>
            </w:tcBorders>
          </w:tcPr>
          <w:p w:rsidR="00372A53" w:rsidRPr="00210BD3" w:rsidRDefault="00372A53" w:rsidP="007137CC">
            <w:pPr>
              <w:jc w:val="center"/>
              <w:rPr>
                <w:sz w:val="26"/>
                <w:szCs w:val="26"/>
              </w:rPr>
            </w:pPr>
          </w:p>
        </w:tc>
      </w:tr>
    </w:tbl>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*Significant at 0.05; df = 224</w:t>
      </w:r>
    </w:p>
    <w:p w:rsidR="00642200" w:rsidRPr="00210BD3" w:rsidRDefault="00642200"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ab/>
        <w:t>The result presented in Table 3 showed that the calculated r-value of 0.466 is higher than the p.value of 0.000 at .05 levels of significance with 224 degree of freedom. The implication of this result is that the null hypothesis is rejected. Therefore, there is a significant relationship between knowledge of subject matter and teaching of Physical Education in secondary schools in Ibiono-Ibom Local Government Area of Akwa Ibom State.</w:t>
      </w:r>
    </w:p>
    <w:p w:rsidR="00372A53" w:rsidRPr="00210BD3" w:rsidRDefault="00372A53" w:rsidP="007137CC">
      <w:pPr>
        <w:spacing w:after="0" w:line="240" w:lineRule="auto"/>
        <w:jc w:val="both"/>
        <w:rPr>
          <w:rFonts w:ascii="Times New Roman" w:hAnsi="Times New Roman" w:cs="Times New Roman"/>
          <w:sz w:val="26"/>
          <w:szCs w:val="26"/>
        </w:rPr>
      </w:pPr>
    </w:p>
    <w:p w:rsidR="00372A53" w:rsidRPr="008723A9" w:rsidRDefault="00372A53" w:rsidP="007137CC">
      <w:pPr>
        <w:spacing w:after="0" w:line="240" w:lineRule="auto"/>
        <w:jc w:val="both"/>
        <w:rPr>
          <w:rFonts w:ascii="Times New Roman" w:hAnsi="Times New Roman" w:cs="Times New Roman"/>
          <w:b/>
          <w:sz w:val="26"/>
          <w:szCs w:val="26"/>
        </w:rPr>
      </w:pPr>
      <w:r w:rsidRPr="008723A9">
        <w:rPr>
          <w:rFonts w:ascii="Times New Roman" w:hAnsi="Times New Roman" w:cs="Times New Roman"/>
          <w:b/>
          <w:sz w:val="26"/>
          <w:szCs w:val="26"/>
        </w:rPr>
        <w:t>Hypothesis two</w:t>
      </w:r>
    </w:p>
    <w:p w:rsidR="00372A53" w:rsidRPr="00210BD3" w:rsidRDefault="00372A5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Knowledge of subject matter does not significantly relate with the teaching of Physical Education. The independent variable in this hypothesis is knowledge of subject matter while the dependent variable is teaching of Physical Education in secondary schools. Pearson product moment correlation statistical tool was employed for data analysis. The result obtained is presented in Table 2. </w:t>
      </w:r>
    </w:p>
    <w:p w:rsidR="00E07698" w:rsidRPr="00210BD3" w:rsidRDefault="00E07698"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Table 2: Pearson product moment correlation analysis of the relationship between knowledge of subject matter and teaching of Physical Education in Ibiono-Ibom Local Government Area of Akwa Ibom State (N = 226)</w:t>
      </w:r>
    </w:p>
    <w:p w:rsidR="00372A53" w:rsidRPr="00210BD3" w:rsidRDefault="00372A53" w:rsidP="007137CC">
      <w:pPr>
        <w:spacing w:after="0" w:line="240" w:lineRule="auto"/>
        <w:jc w:val="both"/>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tblBorders>
        <w:tblLook w:val="04A0"/>
      </w:tblPr>
      <w:tblGrid>
        <w:gridCol w:w="3674"/>
        <w:gridCol w:w="1155"/>
        <w:gridCol w:w="1155"/>
        <w:gridCol w:w="1155"/>
        <w:gridCol w:w="1251"/>
        <w:gridCol w:w="1186"/>
      </w:tblGrid>
      <w:tr w:rsidR="00372A53" w:rsidRPr="00210BD3" w:rsidTr="00D73698">
        <w:tc>
          <w:tcPr>
            <w:tcW w:w="1919" w:type="pct"/>
            <w:tcBorders>
              <w:top w:val="single" w:sz="4" w:space="0" w:color="auto"/>
              <w:left w:val="nil"/>
              <w:bottom w:val="single" w:sz="4" w:space="0" w:color="auto"/>
              <w:right w:val="nil"/>
            </w:tcBorders>
            <w:hideMark/>
          </w:tcPr>
          <w:p w:rsidR="00372A53" w:rsidRPr="00210BD3" w:rsidRDefault="00372A53" w:rsidP="007137CC">
            <w:pPr>
              <w:jc w:val="both"/>
              <w:rPr>
                <w:sz w:val="26"/>
                <w:szCs w:val="26"/>
              </w:rPr>
            </w:pPr>
            <w:r w:rsidRPr="00210BD3">
              <w:rPr>
                <w:sz w:val="26"/>
                <w:szCs w:val="26"/>
              </w:rPr>
              <w:t>Variables</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w:t>
            </w:r>
          </w:p>
          <w:p w:rsidR="00372A53" w:rsidRPr="00210BD3" w:rsidRDefault="00372A53" w:rsidP="007137CC">
            <w:pPr>
              <w:jc w:val="center"/>
              <w:rPr>
                <w:sz w:val="26"/>
                <w:szCs w:val="26"/>
              </w:rPr>
            </w:pPr>
            <w:r w:rsidRPr="00210BD3">
              <w:rPr>
                <w:sz w:val="26"/>
                <w:szCs w:val="26"/>
              </w:rPr>
              <w:t>∑y</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w:t>
            </w:r>
            <w:r w:rsidRPr="00210BD3">
              <w:rPr>
                <w:sz w:val="26"/>
                <w:szCs w:val="26"/>
                <w:vertAlign w:val="superscript"/>
              </w:rPr>
              <w:t>2</w:t>
            </w:r>
          </w:p>
          <w:p w:rsidR="00372A53" w:rsidRPr="00210BD3" w:rsidRDefault="00372A53" w:rsidP="007137CC">
            <w:pPr>
              <w:jc w:val="center"/>
              <w:rPr>
                <w:sz w:val="26"/>
                <w:szCs w:val="26"/>
              </w:rPr>
            </w:pPr>
            <w:r w:rsidRPr="00210BD3">
              <w:rPr>
                <w:sz w:val="26"/>
                <w:szCs w:val="26"/>
              </w:rPr>
              <w:t>∑y</w:t>
            </w:r>
            <w:r w:rsidRPr="00210BD3">
              <w:rPr>
                <w:sz w:val="26"/>
                <w:szCs w:val="26"/>
                <w:vertAlign w:val="superscript"/>
              </w:rPr>
              <w:t>2</w:t>
            </w:r>
          </w:p>
        </w:tc>
        <w:tc>
          <w:tcPr>
            <w:tcW w:w="60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∑xy</w:t>
            </w:r>
          </w:p>
        </w:tc>
        <w:tc>
          <w:tcPr>
            <w:tcW w:w="653"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Cal.r</w:t>
            </w:r>
          </w:p>
        </w:tc>
        <w:tc>
          <w:tcPr>
            <w:tcW w:w="619" w:type="pct"/>
            <w:tcBorders>
              <w:top w:val="single" w:sz="4" w:space="0" w:color="auto"/>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P.value</w:t>
            </w:r>
          </w:p>
        </w:tc>
      </w:tr>
      <w:tr w:rsidR="00372A53" w:rsidRPr="00210BD3" w:rsidTr="00D73698">
        <w:tc>
          <w:tcPr>
            <w:tcW w:w="1919" w:type="pct"/>
            <w:tcBorders>
              <w:top w:val="single" w:sz="4" w:space="0" w:color="auto"/>
              <w:left w:val="nil"/>
              <w:bottom w:val="nil"/>
              <w:right w:val="nil"/>
            </w:tcBorders>
            <w:hideMark/>
          </w:tcPr>
          <w:p w:rsidR="00372A53" w:rsidRPr="00210BD3" w:rsidRDefault="00372A53" w:rsidP="007137CC">
            <w:pPr>
              <w:jc w:val="both"/>
              <w:rPr>
                <w:sz w:val="26"/>
                <w:szCs w:val="26"/>
              </w:rPr>
            </w:pPr>
            <w:r w:rsidRPr="00210BD3">
              <w:rPr>
                <w:sz w:val="26"/>
                <w:szCs w:val="26"/>
              </w:rPr>
              <w:t>Knowledge of subject matter</w:t>
            </w:r>
          </w:p>
        </w:tc>
        <w:tc>
          <w:tcPr>
            <w:tcW w:w="603" w:type="pct"/>
            <w:tcBorders>
              <w:top w:val="single" w:sz="4" w:space="0" w:color="auto"/>
              <w:left w:val="nil"/>
              <w:bottom w:val="nil"/>
              <w:right w:val="nil"/>
            </w:tcBorders>
            <w:hideMark/>
          </w:tcPr>
          <w:p w:rsidR="00372A53" w:rsidRPr="00210BD3" w:rsidRDefault="00372A53" w:rsidP="007137CC">
            <w:pPr>
              <w:jc w:val="center"/>
              <w:rPr>
                <w:sz w:val="26"/>
                <w:szCs w:val="26"/>
              </w:rPr>
            </w:pPr>
            <w:r w:rsidRPr="00210BD3">
              <w:rPr>
                <w:sz w:val="26"/>
                <w:szCs w:val="26"/>
              </w:rPr>
              <w:t>3332</w:t>
            </w:r>
          </w:p>
        </w:tc>
        <w:tc>
          <w:tcPr>
            <w:tcW w:w="603" w:type="pct"/>
            <w:tcBorders>
              <w:top w:val="single" w:sz="4" w:space="0" w:color="auto"/>
              <w:left w:val="nil"/>
              <w:bottom w:val="nil"/>
              <w:right w:val="nil"/>
            </w:tcBorders>
            <w:hideMark/>
          </w:tcPr>
          <w:p w:rsidR="00372A53" w:rsidRPr="00210BD3" w:rsidRDefault="00372A53" w:rsidP="007137CC">
            <w:pPr>
              <w:jc w:val="center"/>
              <w:rPr>
                <w:sz w:val="26"/>
                <w:szCs w:val="26"/>
              </w:rPr>
            </w:pPr>
            <w:r w:rsidRPr="00210BD3">
              <w:rPr>
                <w:sz w:val="26"/>
                <w:szCs w:val="26"/>
              </w:rPr>
              <w:t>4738</w:t>
            </w:r>
          </w:p>
        </w:tc>
        <w:tc>
          <w:tcPr>
            <w:tcW w:w="603" w:type="pct"/>
            <w:tcBorders>
              <w:top w:val="single" w:sz="4" w:space="0" w:color="auto"/>
              <w:left w:val="nil"/>
              <w:bottom w:val="nil"/>
              <w:right w:val="nil"/>
            </w:tcBorders>
          </w:tcPr>
          <w:p w:rsidR="00372A53" w:rsidRPr="00210BD3" w:rsidRDefault="00372A53" w:rsidP="007137CC">
            <w:pPr>
              <w:jc w:val="center"/>
              <w:rPr>
                <w:sz w:val="26"/>
                <w:szCs w:val="26"/>
              </w:rPr>
            </w:pPr>
          </w:p>
        </w:tc>
        <w:tc>
          <w:tcPr>
            <w:tcW w:w="653" w:type="pct"/>
            <w:tcBorders>
              <w:top w:val="single" w:sz="4" w:space="0" w:color="auto"/>
              <w:left w:val="nil"/>
              <w:bottom w:val="nil"/>
              <w:right w:val="nil"/>
            </w:tcBorders>
          </w:tcPr>
          <w:p w:rsidR="00372A53" w:rsidRPr="00210BD3" w:rsidRDefault="00372A53" w:rsidP="007137CC">
            <w:pPr>
              <w:jc w:val="center"/>
              <w:rPr>
                <w:sz w:val="26"/>
                <w:szCs w:val="26"/>
              </w:rPr>
            </w:pPr>
          </w:p>
        </w:tc>
        <w:tc>
          <w:tcPr>
            <w:tcW w:w="619" w:type="pct"/>
            <w:tcBorders>
              <w:top w:val="single" w:sz="4" w:space="0" w:color="auto"/>
              <w:left w:val="nil"/>
              <w:bottom w:val="nil"/>
              <w:right w:val="nil"/>
            </w:tcBorders>
          </w:tcPr>
          <w:p w:rsidR="00372A53" w:rsidRPr="00210BD3" w:rsidRDefault="00372A53" w:rsidP="007137CC">
            <w:pPr>
              <w:jc w:val="center"/>
              <w:rPr>
                <w:sz w:val="26"/>
                <w:szCs w:val="26"/>
              </w:rPr>
            </w:pPr>
          </w:p>
        </w:tc>
      </w:tr>
      <w:tr w:rsidR="00372A53" w:rsidRPr="00210BD3" w:rsidTr="00D73698">
        <w:tc>
          <w:tcPr>
            <w:tcW w:w="1919" w:type="pct"/>
            <w:tcBorders>
              <w:top w:val="nil"/>
              <w:left w:val="nil"/>
              <w:bottom w:val="nil"/>
              <w:right w:val="nil"/>
            </w:tcBorders>
          </w:tcPr>
          <w:p w:rsidR="00372A53" w:rsidRPr="00210BD3" w:rsidRDefault="00372A53" w:rsidP="007137CC">
            <w:pPr>
              <w:jc w:val="both"/>
              <w:rPr>
                <w:sz w:val="26"/>
                <w:szCs w:val="26"/>
              </w:rPr>
            </w:pPr>
          </w:p>
        </w:tc>
        <w:tc>
          <w:tcPr>
            <w:tcW w:w="603" w:type="pct"/>
            <w:tcBorders>
              <w:top w:val="nil"/>
              <w:left w:val="nil"/>
              <w:bottom w:val="nil"/>
              <w:right w:val="nil"/>
            </w:tcBorders>
          </w:tcPr>
          <w:p w:rsidR="00372A53" w:rsidRPr="00210BD3" w:rsidRDefault="00372A53" w:rsidP="007137CC">
            <w:pPr>
              <w:jc w:val="center"/>
              <w:rPr>
                <w:sz w:val="26"/>
                <w:szCs w:val="26"/>
              </w:rPr>
            </w:pPr>
          </w:p>
        </w:tc>
        <w:tc>
          <w:tcPr>
            <w:tcW w:w="603" w:type="pct"/>
            <w:tcBorders>
              <w:top w:val="nil"/>
              <w:left w:val="nil"/>
              <w:bottom w:val="nil"/>
              <w:right w:val="nil"/>
            </w:tcBorders>
          </w:tcPr>
          <w:p w:rsidR="00372A53" w:rsidRPr="00210BD3" w:rsidRDefault="00372A53" w:rsidP="007137CC">
            <w:pPr>
              <w:jc w:val="center"/>
              <w:rPr>
                <w:sz w:val="26"/>
                <w:szCs w:val="26"/>
              </w:rPr>
            </w:pPr>
          </w:p>
        </w:tc>
        <w:tc>
          <w:tcPr>
            <w:tcW w:w="603"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7839</w:t>
            </w:r>
          </w:p>
        </w:tc>
        <w:tc>
          <w:tcPr>
            <w:tcW w:w="653"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0.521*</w:t>
            </w:r>
          </w:p>
        </w:tc>
        <w:tc>
          <w:tcPr>
            <w:tcW w:w="619" w:type="pct"/>
            <w:tcBorders>
              <w:top w:val="nil"/>
              <w:left w:val="nil"/>
              <w:bottom w:val="nil"/>
              <w:right w:val="nil"/>
            </w:tcBorders>
            <w:hideMark/>
          </w:tcPr>
          <w:p w:rsidR="00372A53" w:rsidRPr="00210BD3" w:rsidRDefault="00372A53" w:rsidP="007137CC">
            <w:pPr>
              <w:jc w:val="center"/>
              <w:rPr>
                <w:sz w:val="26"/>
                <w:szCs w:val="26"/>
              </w:rPr>
            </w:pPr>
            <w:r w:rsidRPr="00210BD3">
              <w:rPr>
                <w:sz w:val="26"/>
                <w:szCs w:val="26"/>
              </w:rPr>
              <w:t>0.000</w:t>
            </w:r>
          </w:p>
        </w:tc>
      </w:tr>
      <w:tr w:rsidR="00372A53" w:rsidRPr="00210BD3" w:rsidTr="00D73698">
        <w:tc>
          <w:tcPr>
            <w:tcW w:w="1919" w:type="pct"/>
            <w:tcBorders>
              <w:top w:val="nil"/>
              <w:left w:val="nil"/>
              <w:bottom w:val="single" w:sz="4" w:space="0" w:color="auto"/>
              <w:right w:val="nil"/>
            </w:tcBorders>
            <w:hideMark/>
          </w:tcPr>
          <w:p w:rsidR="00372A53" w:rsidRPr="00210BD3" w:rsidRDefault="00372A53" w:rsidP="007137CC">
            <w:pPr>
              <w:jc w:val="both"/>
              <w:rPr>
                <w:sz w:val="26"/>
                <w:szCs w:val="26"/>
              </w:rPr>
            </w:pPr>
            <w:r w:rsidRPr="00210BD3">
              <w:rPr>
                <w:sz w:val="26"/>
                <w:szCs w:val="26"/>
              </w:rPr>
              <w:t>Teaching of Physical Education</w:t>
            </w:r>
          </w:p>
        </w:tc>
        <w:tc>
          <w:tcPr>
            <w:tcW w:w="603" w:type="pct"/>
            <w:tcBorders>
              <w:top w:val="nil"/>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5819</w:t>
            </w:r>
          </w:p>
        </w:tc>
        <w:tc>
          <w:tcPr>
            <w:tcW w:w="603" w:type="pct"/>
            <w:tcBorders>
              <w:top w:val="nil"/>
              <w:left w:val="nil"/>
              <w:bottom w:val="single" w:sz="4" w:space="0" w:color="auto"/>
              <w:right w:val="nil"/>
            </w:tcBorders>
            <w:hideMark/>
          </w:tcPr>
          <w:p w:rsidR="00372A53" w:rsidRPr="00210BD3" w:rsidRDefault="00372A53" w:rsidP="007137CC">
            <w:pPr>
              <w:jc w:val="center"/>
              <w:rPr>
                <w:sz w:val="26"/>
                <w:szCs w:val="26"/>
              </w:rPr>
            </w:pPr>
            <w:r w:rsidRPr="00210BD3">
              <w:rPr>
                <w:sz w:val="26"/>
                <w:szCs w:val="26"/>
              </w:rPr>
              <w:t>7261</w:t>
            </w:r>
          </w:p>
        </w:tc>
        <w:tc>
          <w:tcPr>
            <w:tcW w:w="603" w:type="pct"/>
            <w:tcBorders>
              <w:top w:val="nil"/>
              <w:left w:val="nil"/>
              <w:bottom w:val="single" w:sz="4" w:space="0" w:color="auto"/>
              <w:right w:val="nil"/>
            </w:tcBorders>
          </w:tcPr>
          <w:p w:rsidR="00372A53" w:rsidRPr="00210BD3" w:rsidRDefault="00372A53" w:rsidP="007137CC">
            <w:pPr>
              <w:jc w:val="center"/>
              <w:rPr>
                <w:sz w:val="26"/>
                <w:szCs w:val="26"/>
              </w:rPr>
            </w:pPr>
          </w:p>
        </w:tc>
        <w:tc>
          <w:tcPr>
            <w:tcW w:w="653" w:type="pct"/>
            <w:tcBorders>
              <w:top w:val="nil"/>
              <w:left w:val="nil"/>
              <w:bottom w:val="single" w:sz="4" w:space="0" w:color="auto"/>
              <w:right w:val="nil"/>
            </w:tcBorders>
          </w:tcPr>
          <w:p w:rsidR="00372A53" w:rsidRPr="00210BD3" w:rsidRDefault="00372A53" w:rsidP="007137CC">
            <w:pPr>
              <w:jc w:val="center"/>
              <w:rPr>
                <w:sz w:val="26"/>
                <w:szCs w:val="26"/>
              </w:rPr>
            </w:pPr>
          </w:p>
        </w:tc>
        <w:tc>
          <w:tcPr>
            <w:tcW w:w="619" w:type="pct"/>
            <w:tcBorders>
              <w:top w:val="nil"/>
              <w:left w:val="nil"/>
              <w:bottom w:val="single" w:sz="4" w:space="0" w:color="auto"/>
              <w:right w:val="nil"/>
            </w:tcBorders>
          </w:tcPr>
          <w:p w:rsidR="00372A53" w:rsidRPr="00210BD3" w:rsidRDefault="00372A53" w:rsidP="007137CC">
            <w:pPr>
              <w:jc w:val="center"/>
              <w:rPr>
                <w:sz w:val="26"/>
                <w:szCs w:val="26"/>
              </w:rPr>
            </w:pPr>
          </w:p>
        </w:tc>
      </w:tr>
    </w:tbl>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*Significant at 0.05; df = 224</w:t>
      </w:r>
    </w:p>
    <w:p w:rsidR="00F46DA6" w:rsidRPr="00210BD3" w:rsidRDefault="00F46DA6" w:rsidP="007137CC">
      <w:pPr>
        <w:spacing w:after="0" w:line="240" w:lineRule="auto"/>
        <w:jc w:val="both"/>
        <w:rPr>
          <w:rFonts w:ascii="Times New Roman" w:hAnsi="Times New Roman" w:cs="Times New Roman"/>
          <w:sz w:val="26"/>
          <w:szCs w:val="26"/>
        </w:rPr>
      </w:pPr>
    </w:p>
    <w:p w:rsidR="00BE3DBC" w:rsidRDefault="00372A53" w:rsidP="007137CC">
      <w:pPr>
        <w:spacing w:after="0" w:line="240" w:lineRule="auto"/>
        <w:jc w:val="both"/>
        <w:rPr>
          <w:rFonts w:ascii="Times New Roman" w:hAnsi="Times New Roman" w:cs="Times New Roman"/>
          <w:sz w:val="26"/>
          <w:szCs w:val="26"/>
        </w:rPr>
        <w:sectPr w:rsidR="00BE3DBC" w:rsidSect="00210BD3">
          <w:type w:val="continuous"/>
          <w:pgSz w:w="12240" w:h="15840" w:code="1"/>
          <w:pgMar w:top="1440" w:right="1440" w:bottom="1440" w:left="1440" w:header="706" w:footer="706" w:gutter="0"/>
          <w:cols w:space="708"/>
          <w:docGrid w:linePitch="360"/>
        </w:sectPr>
      </w:pPr>
      <w:r w:rsidRPr="00210BD3">
        <w:rPr>
          <w:rFonts w:ascii="Times New Roman" w:hAnsi="Times New Roman" w:cs="Times New Roman"/>
          <w:sz w:val="26"/>
          <w:szCs w:val="26"/>
        </w:rPr>
        <w:tab/>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The result presented in Table 4 showed that the calculated r-value of 0.531 is higher than the p.value of 0.000 at .05 levels of significance with 224 degree of freedom. The implication of this result is that the null hypothesis is rejected. Therefore, there is a significant relationship between availability of instructional materials and teaching of Physical Education in secondary schools in Ibiono-Ibom Local Government Area of Akwa Ibom State.</w:t>
      </w:r>
    </w:p>
    <w:p w:rsidR="00372A53" w:rsidRPr="00210BD3" w:rsidRDefault="00372A53" w:rsidP="007137CC">
      <w:pPr>
        <w:spacing w:after="0" w:line="240" w:lineRule="auto"/>
        <w:jc w:val="both"/>
        <w:rPr>
          <w:rFonts w:ascii="Times New Roman" w:hAnsi="Times New Roman" w:cs="Times New Roman"/>
          <w:b/>
          <w:bCs/>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b/>
          <w:bCs/>
          <w:sz w:val="26"/>
          <w:szCs w:val="26"/>
        </w:rPr>
        <w:t>Discussion of findings</w:t>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 finding obtained from analysis of data and testing of hypothesis one in this study revealed that the null hypothesis </w:t>
      </w:r>
      <w:r w:rsidRPr="00210BD3">
        <w:rPr>
          <w:rFonts w:ascii="Times New Roman" w:hAnsi="Times New Roman" w:cs="Times New Roman"/>
          <w:sz w:val="26"/>
          <w:szCs w:val="26"/>
        </w:rPr>
        <w:lastRenderedPageBreak/>
        <w:t>was rejected. This indicated that there was a significant relationship between availability of instructional materials and teaching of Physical Education in secondary schools in Ibiono Ibom Local Government Area of Akwa Ibom State. The reason for this finding could be that the teaching of Physical Education requires certain instructional materials/equipment that would complement theoretical knowledge. The adequate provision of this materials aids effective teaching/learning in schools. These materials help to simplify concepts and increases learners’ understanding of new and existing concepts in various subjects.</w:t>
      </w:r>
    </w:p>
    <w:p w:rsidR="000A6286" w:rsidRPr="00210BD3" w:rsidRDefault="000A6286"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ab/>
        <w:t>The finding of this study is in agreement with that Umoinyang (2019) who reported that instructional materials are teaching materials or teaching aids which teachers utilize to assist them in the realization of set objective of any lesson. The planning of a lesson by a teacher is dependent on the availability and effective use of learning resources. Lack of these resources in our school has been a major problem in the instructional process. Ideally, no effective education can take place without equipment, facilities, materials etc. They are indispensable tools to good teaching and learning (Umoren, 2015). The use of instructional material in teaching enables learners to develop problem-solving skills and positive attitudes, and to develop functional knowledge and manipulative skills. The acquisition of these skills is essential to the general preparation of youths for functional existence in society. Instructional resources refer to those objects that are familiar to learner and can be obtained locally. These materials may be categorized into three broad classes namely visuals, audios and audio-visual manipulative.</w:t>
      </w:r>
    </w:p>
    <w:p w:rsidR="000A6286" w:rsidRPr="00210BD3" w:rsidRDefault="000A6286"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The finding obtained from analysis of data and testing of hypothesis two in this study revealed that the null hypothesis was rejected. This indicated that there was a significant relationship between knowledge of subject matter and teaching of Physical Education in secondary schools in Ibiono Ibom Local Government Area of Akwa Ibom State. The reason for this finding could be that mastery of subject matter is a major </w:t>
      </w:r>
      <w:r w:rsidRPr="00210BD3">
        <w:rPr>
          <w:rFonts w:ascii="Times New Roman" w:hAnsi="Times New Roman" w:cs="Times New Roman"/>
          <w:sz w:val="26"/>
          <w:szCs w:val="26"/>
        </w:rPr>
        <w:lastRenderedPageBreak/>
        <w:t>requirement for the implementation of any curriculum. The effective teaching of Physical Education requires the services of competent teachers with requisite knowledge of Physical Education. A teacher with good knowledge of subject matter will be able to impart relevant knowledge to learners and adequately motivate them to lean effectively during lessons.</w:t>
      </w:r>
    </w:p>
    <w:p w:rsidR="00CE6445" w:rsidRPr="00210BD3" w:rsidRDefault="00CE6445"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The finding of this study is in agreement with that of Bisong (2019) who reported that one of the competences or skills for effective classroom instruction is the preparation made towards it. The teacher as a matter of duty has to study carefully and prepare for the subject matter to be taught. This may involve reading several resources to get in-depth knowledge of the subject matter and thereby equip the teacher in deciding the scope and details to be given to the students. Thereafter, he plans the entire process of communicating new knowledge to students (Umoh, 2016). This in effect means that, he will decide on the content to be given, the activities to be performed by the teachers as well as the students, materials that will enhance effective communication and the choice and level of language of communication. He must also choose the most appropriate introduction that will stimulate and sustain students’ interest and decide on the mode of presentation that would effectively reiterate salient points. These simple but importance steps serve to fortify the teacher for the tedious task of imparting knowledge. Adequate knowledge of subject matter to </w:t>
      </w:r>
      <w:r w:rsidRPr="00210BD3">
        <w:rPr>
          <w:rFonts w:ascii="Times New Roman" w:hAnsi="Times New Roman" w:cs="Times New Roman"/>
          <w:sz w:val="26"/>
          <w:szCs w:val="26"/>
        </w:rPr>
        <w:lastRenderedPageBreak/>
        <w:t>be presented help boost the teachers' teaching effectiveness in the classroom.</w:t>
      </w:r>
    </w:p>
    <w:p w:rsidR="00372A53" w:rsidRPr="00210BD3" w:rsidRDefault="00372A53" w:rsidP="007137CC">
      <w:pPr>
        <w:spacing w:after="0" w:line="240" w:lineRule="auto"/>
        <w:jc w:val="both"/>
        <w:rPr>
          <w:rFonts w:ascii="Times New Roman" w:hAnsi="Times New Roman" w:cs="Times New Roman"/>
          <w:b/>
          <w:bCs/>
          <w:sz w:val="26"/>
          <w:szCs w:val="26"/>
        </w:rPr>
      </w:pPr>
    </w:p>
    <w:p w:rsidR="00372A53" w:rsidRPr="00210BD3" w:rsidRDefault="00372A53"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Conclusion</w:t>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Based on the findings of this study, it is concluded that </w:t>
      </w:r>
      <w:r w:rsidRPr="00210BD3">
        <w:rPr>
          <w:rFonts w:ascii="Times New Roman" w:hAnsi="Times New Roman" w:cs="Times New Roman"/>
          <w:color w:val="000000"/>
          <w:sz w:val="26"/>
          <w:szCs w:val="26"/>
        </w:rPr>
        <w:t>i</w:t>
      </w:r>
      <w:r w:rsidRPr="00210BD3">
        <w:rPr>
          <w:rFonts w:ascii="Times New Roman" w:hAnsi="Times New Roman" w:cs="Times New Roman"/>
          <w:sz w:val="26"/>
          <w:szCs w:val="26"/>
        </w:rPr>
        <w:t>nstruction-related variables can enhance effective teaching of Physical Education in secondary schools. It is further concluded that it will benefit instructional process in the school system when instructional materials are made available with teachers’ knowledge of subject matter considered in the teaching of Physical Education in public secondary schools.</w:t>
      </w:r>
    </w:p>
    <w:p w:rsidR="00010471" w:rsidRPr="00210BD3" w:rsidRDefault="00010471" w:rsidP="007137CC">
      <w:pPr>
        <w:spacing w:after="0" w:line="240" w:lineRule="auto"/>
        <w:jc w:val="both"/>
        <w:rPr>
          <w:rFonts w:ascii="Times New Roman" w:hAnsi="Times New Roman" w:cs="Times New Roman"/>
          <w:sz w:val="26"/>
          <w:szCs w:val="26"/>
        </w:rPr>
      </w:pP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b/>
          <w:bCs/>
          <w:sz w:val="26"/>
          <w:szCs w:val="26"/>
        </w:rPr>
        <w:t>Recommendations</w:t>
      </w:r>
    </w:p>
    <w:p w:rsidR="00372A53" w:rsidRPr="00210BD3" w:rsidRDefault="00372A53"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ab/>
        <w:t>Based on the finding obtained from analysis of data and testing of hypothesis in the study, it was recommended that:</w:t>
      </w:r>
    </w:p>
    <w:p w:rsidR="00372A53" w:rsidRPr="00210BD3" w:rsidRDefault="00372A53" w:rsidP="007137CC">
      <w:pPr>
        <w:spacing w:after="0" w:line="240" w:lineRule="auto"/>
        <w:jc w:val="both"/>
        <w:rPr>
          <w:rFonts w:ascii="Times New Roman" w:hAnsi="Times New Roman" w:cs="Times New Roman"/>
          <w:sz w:val="26"/>
          <w:szCs w:val="26"/>
        </w:rPr>
      </w:pPr>
    </w:p>
    <w:p w:rsidR="00372A53" w:rsidRPr="00210BD3" w:rsidRDefault="00372A53" w:rsidP="007137CC">
      <w:pPr>
        <w:pStyle w:val="ListParagraph"/>
        <w:numPr>
          <w:ilvl w:val="0"/>
          <w:numId w:val="4"/>
        </w:numPr>
        <w:spacing w:before="0" w:beforeAutospacing="0" w:after="0" w:line="240" w:lineRule="auto"/>
        <w:ind w:left="0"/>
        <w:jc w:val="both"/>
        <w:rPr>
          <w:rFonts w:ascii="Times New Roman" w:eastAsia="SimSun" w:hAnsi="Times New Roman"/>
          <w:sz w:val="26"/>
          <w:szCs w:val="26"/>
        </w:rPr>
      </w:pPr>
      <w:r w:rsidRPr="00210BD3">
        <w:rPr>
          <w:rFonts w:ascii="Times New Roman" w:eastAsia="Calibri" w:hAnsi="Times New Roman"/>
          <w:color w:val="000000"/>
          <w:sz w:val="26"/>
          <w:szCs w:val="26"/>
        </w:rPr>
        <w:t>School authorities should ensure that relevant instructional materials are always provided for teachers in public schools in order to promote the teaching of Physical Education.</w:t>
      </w:r>
    </w:p>
    <w:p w:rsidR="00372A53" w:rsidRPr="00210BD3" w:rsidRDefault="00372A53" w:rsidP="007137CC">
      <w:pPr>
        <w:pStyle w:val="ListParagraph"/>
        <w:spacing w:before="0" w:beforeAutospacing="0" w:after="0" w:line="240" w:lineRule="auto"/>
        <w:ind w:left="0"/>
        <w:jc w:val="both"/>
        <w:rPr>
          <w:rFonts w:ascii="Times New Roman" w:eastAsia="SimSun" w:hAnsi="Times New Roman"/>
          <w:sz w:val="26"/>
          <w:szCs w:val="26"/>
        </w:rPr>
      </w:pPr>
    </w:p>
    <w:p w:rsidR="00372A53" w:rsidRPr="00210BD3" w:rsidRDefault="00372A53" w:rsidP="007137CC">
      <w:pPr>
        <w:pStyle w:val="ListParagraph"/>
        <w:numPr>
          <w:ilvl w:val="0"/>
          <w:numId w:val="4"/>
        </w:numPr>
        <w:spacing w:before="0" w:beforeAutospacing="0" w:after="0" w:line="240" w:lineRule="auto"/>
        <w:ind w:left="0"/>
        <w:jc w:val="both"/>
        <w:rPr>
          <w:rFonts w:ascii="Times New Roman" w:eastAsia="SimSun" w:hAnsi="Times New Roman"/>
          <w:sz w:val="26"/>
          <w:szCs w:val="26"/>
        </w:rPr>
      </w:pPr>
      <w:r w:rsidRPr="00210BD3">
        <w:rPr>
          <w:rFonts w:ascii="Times New Roman" w:eastAsia="Calibri" w:hAnsi="Times New Roman"/>
          <w:color w:val="000000"/>
          <w:sz w:val="26"/>
          <w:szCs w:val="26"/>
        </w:rPr>
        <w:t>School administrators should ensure that only teachers with sound knowledge are recruited, trained and retrained in order to ensure competence and promote the teaching of Physical Education.</w:t>
      </w:r>
    </w:p>
    <w:p w:rsidR="00372A53" w:rsidRPr="00210BD3" w:rsidRDefault="00372A53" w:rsidP="007137CC">
      <w:pPr>
        <w:spacing w:line="240" w:lineRule="auto"/>
        <w:rPr>
          <w:rFonts w:ascii="Times New Roman" w:hAnsi="Times New Roman" w:cs="Times New Roman"/>
          <w:b/>
          <w:sz w:val="26"/>
          <w:szCs w:val="26"/>
        </w:rPr>
      </w:pPr>
    </w:p>
    <w:p w:rsidR="00BE3DBC" w:rsidRDefault="00BE3DBC" w:rsidP="007137CC">
      <w:pPr>
        <w:spacing w:line="240" w:lineRule="auto"/>
        <w:rPr>
          <w:rFonts w:ascii="Times New Roman" w:hAnsi="Times New Roman" w:cs="Times New Roman"/>
          <w:b/>
          <w:sz w:val="26"/>
          <w:szCs w:val="26"/>
        </w:rPr>
        <w:sectPr w:rsidR="00BE3DBC" w:rsidSect="00BE3DBC">
          <w:type w:val="continuous"/>
          <w:pgSz w:w="12240" w:h="15840" w:code="1"/>
          <w:pgMar w:top="1440" w:right="1440" w:bottom="1440" w:left="1440" w:header="706" w:footer="706" w:gutter="0"/>
          <w:cols w:num="2" w:space="708"/>
          <w:docGrid w:linePitch="360"/>
        </w:sectPr>
      </w:pPr>
    </w:p>
    <w:p w:rsidR="00372A53" w:rsidRPr="00210BD3" w:rsidRDefault="00BE3DBC" w:rsidP="007137CC">
      <w:pPr>
        <w:spacing w:line="240" w:lineRule="auto"/>
        <w:rPr>
          <w:rFonts w:ascii="Times New Roman" w:hAnsi="Times New Roman" w:cs="Times New Roman"/>
          <w:b/>
          <w:sz w:val="26"/>
          <w:szCs w:val="26"/>
        </w:rPr>
      </w:pPr>
      <w:r w:rsidRPr="00210BD3">
        <w:rPr>
          <w:rFonts w:ascii="Times New Roman" w:hAnsi="Times New Roman" w:cs="Times New Roman"/>
          <w:b/>
          <w:sz w:val="26"/>
          <w:szCs w:val="26"/>
        </w:rPr>
        <w:lastRenderedPageBreak/>
        <w:t>References</w:t>
      </w:r>
    </w:p>
    <w:p w:rsidR="00372A53" w:rsidRPr="00210BD3" w:rsidRDefault="00372A53" w:rsidP="007137CC">
      <w:pPr>
        <w:pStyle w:val="NoSpacing"/>
        <w:tabs>
          <w:tab w:val="left" w:pos="851"/>
        </w:tabs>
        <w:spacing w:before="0" w:beforeAutospacing="0"/>
        <w:ind w:hanging="720"/>
        <w:jc w:val="both"/>
        <w:rPr>
          <w:i/>
          <w:sz w:val="26"/>
          <w:szCs w:val="26"/>
        </w:rPr>
      </w:pPr>
      <w:r w:rsidRPr="00210BD3">
        <w:rPr>
          <w:sz w:val="26"/>
          <w:szCs w:val="26"/>
        </w:rPr>
        <w:t>Afen, H. W. (2018). Factors that promote effective teaching in secondary schools in Obubra Local Government Area of Cross River State.</w:t>
      </w:r>
      <w:r w:rsidRPr="00210BD3">
        <w:rPr>
          <w:i/>
          <w:sz w:val="26"/>
          <w:szCs w:val="26"/>
        </w:rPr>
        <w:t xml:space="preserve">Journal of Teacher Education, </w:t>
      </w:r>
      <w:r w:rsidRPr="00210BD3">
        <w:rPr>
          <w:sz w:val="26"/>
          <w:szCs w:val="26"/>
        </w:rPr>
        <w:t>16(3), 14-22.</w:t>
      </w:r>
    </w:p>
    <w:p w:rsidR="00372A53" w:rsidRPr="00210BD3" w:rsidRDefault="00372A53" w:rsidP="007137CC">
      <w:pPr>
        <w:pStyle w:val="NoSpacing"/>
        <w:tabs>
          <w:tab w:val="left" w:pos="851"/>
        </w:tabs>
        <w:spacing w:before="0" w:beforeAutospacing="0"/>
        <w:ind w:hanging="720"/>
        <w:jc w:val="both"/>
        <w:rPr>
          <w:i/>
          <w:sz w:val="26"/>
          <w:szCs w:val="26"/>
        </w:rPr>
      </w:pPr>
      <w:r w:rsidRPr="00210BD3">
        <w:rPr>
          <w:sz w:val="26"/>
          <w:szCs w:val="26"/>
        </w:rPr>
        <w:t xml:space="preserve">Akan, M. U. (2019). Teachers and students’ academic performance in Nigerian secondary schools: Implications for planning. </w:t>
      </w:r>
      <w:r w:rsidRPr="00210BD3">
        <w:rPr>
          <w:i/>
          <w:sz w:val="26"/>
          <w:szCs w:val="26"/>
        </w:rPr>
        <w:t xml:space="preserve">Florida Journal of Educational Administration and Policy, </w:t>
      </w:r>
      <w:r w:rsidRPr="00210BD3">
        <w:rPr>
          <w:sz w:val="26"/>
          <w:szCs w:val="26"/>
        </w:rPr>
        <w:t>3(2), 86-103.</w:t>
      </w:r>
    </w:p>
    <w:p w:rsidR="00372A53" w:rsidRPr="00210BD3" w:rsidRDefault="00372A53" w:rsidP="007137CC">
      <w:pPr>
        <w:pStyle w:val="NoSpacing"/>
        <w:tabs>
          <w:tab w:val="left" w:pos="851"/>
        </w:tabs>
        <w:spacing w:before="0" w:beforeAutospacing="0"/>
        <w:ind w:hanging="720"/>
        <w:jc w:val="both"/>
        <w:rPr>
          <w:sz w:val="26"/>
          <w:szCs w:val="26"/>
        </w:rPr>
      </w:pPr>
      <w:r w:rsidRPr="00210BD3">
        <w:rPr>
          <w:sz w:val="26"/>
          <w:szCs w:val="26"/>
        </w:rPr>
        <w:t xml:space="preserve">Bisong, M. B. (2018). Effect of leadership styles on job related tension and psychological sense of community in work organization: Case study of four organizations in Lagos State, Nigeria. </w:t>
      </w:r>
      <w:r w:rsidRPr="00210BD3">
        <w:rPr>
          <w:i/>
          <w:sz w:val="26"/>
          <w:szCs w:val="26"/>
        </w:rPr>
        <w:t xml:space="preserve">Bangladesh Educational Journal of Social Sciences, </w:t>
      </w:r>
      <w:r w:rsidRPr="00210BD3">
        <w:rPr>
          <w:sz w:val="26"/>
          <w:szCs w:val="26"/>
        </w:rPr>
        <w:t>4(2), 133-157.</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color w:val="000000"/>
          <w:sz w:val="26"/>
          <w:szCs w:val="26"/>
        </w:rPr>
        <w:t>Bucher, W. A. &amp; Krotee, T. M. (2018).</w:t>
      </w:r>
      <w:r w:rsidRPr="00210BD3">
        <w:rPr>
          <w:rFonts w:ascii="Times New Roman" w:hAnsi="Times New Roman" w:cs="Times New Roman"/>
          <w:sz w:val="26"/>
          <w:szCs w:val="26"/>
        </w:rPr>
        <w:t>Availability and utilization of instructional materials for social studies in junior secondary schools in Enugu State.</w:t>
      </w:r>
      <w:r w:rsidRPr="00210BD3">
        <w:rPr>
          <w:rFonts w:ascii="Times New Roman" w:hAnsi="Times New Roman" w:cs="Times New Roman"/>
          <w:i/>
          <w:sz w:val="26"/>
          <w:szCs w:val="26"/>
        </w:rPr>
        <w:t xml:space="preserve">Nigerian Journal of Research and Production, </w:t>
      </w:r>
      <w:r w:rsidRPr="00210BD3">
        <w:rPr>
          <w:rFonts w:ascii="Times New Roman" w:hAnsi="Times New Roman" w:cs="Times New Roman"/>
          <w:sz w:val="26"/>
          <w:szCs w:val="26"/>
        </w:rPr>
        <w:t>19(1), 1-12.</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sz w:val="26"/>
          <w:szCs w:val="26"/>
        </w:rPr>
        <w:t>Dan, F. A.; Odok, E. A., Osaji, N. N., Odey, J. O. &amp; Iso, S. O. (2024). Predictors of physical and health education as a course of study among secondary school students in Calabar Municipality, Cross River State, Nigeria.</w:t>
      </w:r>
      <w:r w:rsidRPr="00210BD3">
        <w:rPr>
          <w:rFonts w:ascii="Times New Roman" w:hAnsi="Times New Roman" w:cs="Times New Roman"/>
          <w:bCs/>
          <w:i/>
          <w:sz w:val="26"/>
          <w:szCs w:val="26"/>
        </w:rPr>
        <w:t>Journal of Environmental and Tourism Education</w:t>
      </w:r>
      <w:r w:rsidRPr="00210BD3">
        <w:rPr>
          <w:rFonts w:ascii="Times New Roman" w:hAnsi="Times New Roman" w:cs="Times New Roman"/>
          <w:bCs/>
          <w:sz w:val="26"/>
          <w:szCs w:val="26"/>
        </w:rPr>
        <w:t>, 7(1), 79-90.</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bCs/>
          <w:sz w:val="26"/>
          <w:szCs w:val="26"/>
        </w:rPr>
        <w:t>Ekpo, E. E., Egbula, E. O and Abang, A.S. (2016).Quality education and human capacity development among principals in secondary schools in Calabar Metroplic, Cross River State, Nigeria.</w:t>
      </w:r>
      <w:r w:rsidRPr="00210BD3">
        <w:rPr>
          <w:rFonts w:ascii="Times New Roman" w:hAnsi="Times New Roman" w:cs="Times New Roman"/>
          <w:bCs/>
          <w:i/>
          <w:sz w:val="26"/>
          <w:szCs w:val="26"/>
        </w:rPr>
        <w:t>International Journal of Educational Administration, Planning and Research</w:t>
      </w:r>
      <w:r w:rsidRPr="00210BD3">
        <w:rPr>
          <w:rFonts w:ascii="Times New Roman" w:hAnsi="Times New Roman" w:cs="Times New Roman"/>
          <w:bCs/>
          <w:sz w:val="26"/>
          <w:szCs w:val="26"/>
        </w:rPr>
        <w:t>, 8(1), 106-112.</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bCs/>
          <w:sz w:val="26"/>
          <w:szCs w:val="26"/>
        </w:rPr>
        <w:t>Ekpo, E .E., Nnaji, E. S., Onabe, D. O. and Ovat, S. V. (2023). Educational policies and academic staff capacity development in Federal Universities in Nigeria.</w:t>
      </w:r>
      <w:r w:rsidRPr="00210BD3">
        <w:rPr>
          <w:rFonts w:ascii="Times New Roman" w:hAnsi="Times New Roman" w:cs="Times New Roman"/>
          <w:bCs/>
          <w:i/>
          <w:sz w:val="26"/>
          <w:szCs w:val="26"/>
        </w:rPr>
        <w:t>International Journal of Scientific Research in Education</w:t>
      </w:r>
      <w:r w:rsidRPr="00210BD3">
        <w:rPr>
          <w:rFonts w:ascii="Times New Roman" w:hAnsi="Times New Roman" w:cs="Times New Roman"/>
          <w:bCs/>
          <w:sz w:val="26"/>
          <w:szCs w:val="26"/>
        </w:rPr>
        <w:t>, 16(4), 447-453.</w:t>
      </w:r>
    </w:p>
    <w:p w:rsidR="00372A53" w:rsidRPr="00210BD3" w:rsidRDefault="00372A53" w:rsidP="007137CC">
      <w:pPr>
        <w:pStyle w:val="NoSpacing"/>
        <w:tabs>
          <w:tab w:val="left" w:pos="851"/>
        </w:tabs>
        <w:spacing w:before="0" w:beforeAutospacing="0"/>
        <w:ind w:hanging="720"/>
        <w:jc w:val="both"/>
        <w:rPr>
          <w:i/>
          <w:color w:val="000000"/>
          <w:sz w:val="26"/>
          <w:szCs w:val="26"/>
        </w:rPr>
      </w:pPr>
      <w:r w:rsidRPr="00210BD3">
        <w:rPr>
          <w:color w:val="000000"/>
          <w:sz w:val="26"/>
          <w:szCs w:val="26"/>
        </w:rPr>
        <w:lastRenderedPageBreak/>
        <w:t>Ewa, T. N. (2018). Availability of instructional materials teaching of Physical Education in Enugu Education Zone of Enugu State, Nigeria.</w:t>
      </w:r>
      <w:r w:rsidRPr="00210BD3">
        <w:rPr>
          <w:i/>
          <w:color w:val="000000"/>
          <w:sz w:val="26"/>
          <w:szCs w:val="26"/>
        </w:rPr>
        <w:t>Journal of Teacher Education and Practice,</w:t>
      </w:r>
      <w:r w:rsidRPr="00210BD3">
        <w:rPr>
          <w:color w:val="000000"/>
          <w:sz w:val="26"/>
          <w:szCs w:val="26"/>
        </w:rPr>
        <w:t xml:space="preserve"> 23(3), 174-182.</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color w:val="000000"/>
          <w:sz w:val="26"/>
          <w:szCs w:val="26"/>
        </w:rPr>
        <w:t>Hardman, U. M. (2018).</w:t>
      </w:r>
      <w:r w:rsidRPr="00210BD3">
        <w:rPr>
          <w:rFonts w:ascii="Times New Roman" w:hAnsi="Times New Roman" w:cs="Times New Roman"/>
          <w:i/>
          <w:sz w:val="26"/>
          <w:szCs w:val="26"/>
        </w:rPr>
        <w:t>Fostering teaching effectiveness among teachers in public schools in Nigeria,</w:t>
      </w:r>
      <w:r w:rsidRPr="00210BD3">
        <w:rPr>
          <w:rFonts w:ascii="Times New Roman" w:hAnsi="Times New Roman" w:cs="Times New Roman"/>
          <w:sz w:val="26"/>
          <w:szCs w:val="26"/>
        </w:rPr>
        <w:t xml:space="preserve"> Port Harcourt: Akuru Publishing House</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Ikem, P. M. (2018). </w:t>
      </w:r>
      <w:r w:rsidRPr="00210BD3">
        <w:rPr>
          <w:rFonts w:ascii="Times New Roman" w:hAnsi="Times New Roman" w:cs="Times New Roman"/>
          <w:i/>
          <w:iCs/>
          <w:color w:val="000000"/>
          <w:sz w:val="26"/>
          <w:szCs w:val="26"/>
        </w:rPr>
        <w:t xml:space="preserve">Instructional communication for effective teaching in university education, </w:t>
      </w:r>
      <w:r w:rsidRPr="00210BD3">
        <w:rPr>
          <w:rFonts w:ascii="Times New Roman" w:hAnsi="Times New Roman" w:cs="Times New Roman"/>
          <w:color w:val="000000"/>
          <w:sz w:val="26"/>
          <w:szCs w:val="26"/>
        </w:rPr>
        <w:t>Kaduna: BI Shaanu Publishing.</w:t>
      </w:r>
    </w:p>
    <w:p w:rsidR="00372A53" w:rsidRPr="00210BD3" w:rsidRDefault="00372A53" w:rsidP="007137CC">
      <w:pPr>
        <w:pStyle w:val="NoSpacing"/>
        <w:tabs>
          <w:tab w:val="left" w:pos="851"/>
        </w:tabs>
        <w:spacing w:before="0" w:beforeAutospacing="0"/>
        <w:ind w:hanging="720"/>
        <w:jc w:val="both"/>
        <w:rPr>
          <w:i/>
          <w:sz w:val="26"/>
          <w:szCs w:val="26"/>
        </w:rPr>
      </w:pPr>
      <w:r w:rsidRPr="00210BD3">
        <w:rPr>
          <w:sz w:val="26"/>
          <w:szCs w:val="26"/>
        </w:rPr>
        <w:t>Joshua, G. A. (2017). Teachers' characteristics and effective teaching in secondary schools in Yakurr Local Government Area of Cross River State.</w:t>
      </w:r>
      <w:r w:rsidRPr="00210BD3">
        <w:rPr>
          <w:i/>
          <w:sz w:val="26"/>
          <w:szCs w:val="26"/>
        </w:rPr>
        <w:t xml:space="preserve">Journal of School Management, </w:t>
      </w:r>
      <w:r w:rsidRPr="00210BD3">
        <w:rPr>
          <w:sz w:val="26"/>
          <w:szCs w:val="26"/>
        </w:rPr>
        <w:t>4(3), 46-54.</w:t>
      </w:r>
    </w:p>
    <w:p w:rsidR="00372A53" w:rsidRPr="00210BD3" w:rsidRDefault="00372A53" w:rsidP="007137CC">
      <w:pPr>
        <w:tabs>
          <w:tab w:val="left" w:pos="851"/>
        </w:tabs>
        <w:spacing w:after="0" w:line="240" w:lineRule="auto"/>
        <w:ind w:hanging="720"/>
        <w:jc w:val="both"/>
        <w:rPr>
          <w:rFonts w:ascii="Times New Roman" w:hAnsi="Times New Roman" w:cs="Times New Roman"/>
          <w:color w:val="000000"/>
          <w:spacing w:val="-1"/>
          <w:sz w:val="26"/>
          <w:szCs w:val="26"/>
        </w:rPr>
      </w:pPr>
      <w:r w:rsidRPr="00210BD3">
        <w:rPr>
          <w:rFonts w:ascii="Times New Roman" w:hAnsi="Times New Roman" w:cs="Times New Roman"/>
          <w:color w:val="000000"/>
          <w:sz w:val="26"/>
          <w:szCs w:val="26"/>
        </w:rPr>
        <w:t xml:space="preserve">Lockheed, S. N. (2021). </w:t>
      </w:r>
      <w:r w:rsidRPr="00210BD3">
        <w:rPr>
          <w:rFonts w:ascii="Times New Roman" w:hAnsi="Times New Roman" w:cs="Times New Roman"/>
          <w:i/>
          <w:color w:val="000000"/>
          <w:spacing w:val="-1"/>
          <w:sz w:val="26"/>
          <w:szCs w:val="26"/>
        </w:rPr>
        <w:t>Psycho-social issues in teacher career development</w:t>
      </w:r>
      <w:r w:rsidRPr="00210BD3">
        <w:rPr>
          <w:rFonts w:ascii="Times New Roman" w:hAnsi="Times New Roman" w:cs="Times New Roman"/>
          <w:color w:val="000000"/>
          <w:spacing w:val="-1"/>
          <w:sz w:val="26"/>
          <w:szCs w:val="26"/>
        </w:rPr>
        <w:t>. Lagos: Folorunsho Printing Press.</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color w:val="000000"/>
          <w:sz w:val="26"/>
          <w:szCs w:val="26"/>
          <w:shd w:val="clear" w:color="auto" w:fill="FCFCFC"/>
        </w:rPr>
        <w:t xml:space="preserve">Obaji, G. O. (2018). </w:t>
      </w:r>
      <w:r w:rsidRPr="00210BD3">
        <w:rPr>
          <w:rFonts w:ascii="Times New Roman" w:hAnsi="Times New Roman" w:cs="Times New Roman"/>
          <w:sz w:val="26"/>
          <w:szCs w:val="26"/>
        </w:rPr>
        <w:t xml:space="preserve">Effects of an elementary school program to enhance prosocial behavior on children’s cognitive-social problem solving skill and strategies. </w:t>
      </w:r>
      <w:r w:rsidRPr="00210BD3">
        <w:rPr>
          <w:rFonts w:ascii="Times New Roman" w:hAnsi="Times New Roman" w:cs="Times New Roman"/>
          <w:i/>
          <w:sz w:val="26"/>
          <w:szCs w:val="26"/>
        </w:rPr>
        <w:t xml:space="preserve">Journal of Applied Developmental Psychology, </w:t>
      </w:r>
      <w:r w:rsidRPr="00210BD3">
        <w:rPr>
          <w:rFonts w:ascii="Times New Roman" w:hAnsi="Times New Roman" w:cs="Times New Roman"/>
          <w:sz w:val="26"/>
          <w:szCs w:val="26"/>
        </w:rPr>
        <w:t>1, 147-160.</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bCs/>
          <w:sz w:val="26"/>
          <w:szCs w:val="26"/>
        </w:rPr>
        <w:t>Odok, E. A., Dan, F. A. &amp; Bassey, A. K. (2024).</w:t>
      </w:r>
      <w:r w:rsidRPr="00210BD3">
        <w:rPr>
          <w:rFonts w:ascii="Times New Roman" w:hAnsi="Times New Roman" w:cs="Times New Roman"/>
          <w:sz w:val="26"/>
          <w:szCs w:val="26"/>
        </w:rPr>
        <w:t>Demographic variables and sports participation among secondary school students in Eket Local Government Area of Akwa Ibom State, Nigeria.</w:t>
      </w:r>
      <w:r w:rsidRPr="00210BD3">
        <w:rPr>
          <w:rFonts w:ascii="Times New Roman" w:hAnsi="Times New Roman" w:cs="Times New Roman"/>
          <w:bCs/>
          <w:i/>
          <w:sz w:val="26"/>
          <w:szCs w:val="26"/>
        </w:rPr>
        <w:t>Journal of Environmental and Tourism Education</w:t>
      </w:r>
      <w:r w:rsidRPr="00210BD3">
        <w:rPr>
          <w:rFonts w:ascii="Times New Roman" w:hAnsi="Times New Roman" w:cs="Times New Roman"/>
          <w:bCs/>
          <w:sz w:val="26"/>
          <w:szCs w:val="26"/>
        </w:rPr>
        <w:t>, 7(1), 58-68.</w:t>
      </w:r>
    </w:p>
    <w:p w:rsidR="00372A53" w:rsidRPr="00210BD3" w:rsidRDefault="00372A53" w:rsidP="007137CC">
      <w:pPr>
        <w:tabs>
          <w:tab w:val="left" w:pos="851"/>
        </w:tabs>
        <w:spacing w:after="0" w:line="240" w:lineRule="auto"/>
        <w:ind w:hanging="720"/>
        <w:jc w:val="both"/>
        <w:rPr>
          <w:rFonts w:ascii="Times New Roman" w:hAnsi="Times New Roman" w:cs="Times New Roman"/>
          <w:bCs/>
          <w:sz w:val="26"/>
          <w:szCs w:val="26"/>
        </w:rPr>
      </w:pPr>
      <w:r w:rsidRPr="00210BD3">
        <w:rPr>
          <w:rFonts w:ascii="Times New Roman" w:hAnsi="Times New Roman" w:cs="Times New Roman"/>
          <w:color w:val="000000"/>
          <w:sz w:val="26"/>
          <w:szCs w:val="26"/>
        </w:rPr>
        <w:t xml:space="preserve">Ololobou, T. A. (2018). </w:t>
      </w:r>
      <w:r w:rsidRPr="00210BD3">
        <w:rPr>
          <w:rFonts w:ascii="Times New Roman" w:hAnsi="Times New Roman" w:cs="Times New Roman"/>
          <w:i/>
          <w:sz w:val="26"/>
          <w:szCs w:val="26"/>
        </w:rPr>
        <w:t>The making of an effective teacher</w:t>
      </w:r>
      <w:r w:rsidRPr="00210BD3">
        <w:rPr>
          <w:rFonts w:ascii="Times New Roman" w:hAnsi="Times New Roman" w:cs="Times New Roman"/>
          <w:sz w:val="26"/>
          <w:szCs w:val="26"/>
        </w:rPr>
        <w:t>. Kigali: Faith Prints.</w:t>
      </w:r>
    </w:p>
    <w:p w:rsidR="00372A53" w:rsidRPr="00210BD3" w:rsidRDefault="00372A53" w:rsidP="007137CC">
      <w:pPr>
        <w:tabs>
          <w:tab w:val="left" w:pos="851"/>
        </w:tabs>
        <w:spacing w:after="0" w:line="240" w:lineRule="auto"/>
        <w:ind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Onabe, D. O., Ekpo, E. E., Akuh, E. A. and Edoho, G. E.(2024). Revenue generation models of financing in the administration of tertiary Institutions in Cross River State, Nigeria. </w:t>
      </w:r>
      <w:r w:rsidRPr="00210BD3">
        <w:rPr>
          <w:rFonts w:ascii="Times New Roman" w:hAnsi="Times New Roman" w:cs="Times New Roman"/>
          <w:bCs/>
          <w:i/>
          <w:sz w:val="26"/>
          <w:szCs w:val="26"/>
        </w:rPr>
        <w:t>Global Journal of Educational Research</w:t>
      </w:r>
      <w:r w:rsidRPr="00210BD3">
        <w:rPr>
          <w:rFonts w:ascii="Times New Roman" w:hAnsi="Times New Roman" w:cs="Times New Roman"/>
          <w:bCs/>
          <w:sz w:val="26"/>
          <w:szCs w:val="26"/>
        </w:rPr>
        <w:t>, 23(1), 11-21.</w:t>
      </w:r>
    </w:p>
    <w:p w:rsidR="00372A53" w:rsidRPr="00210BD3" w:rsidRDefault="00372A53" w:rsidP="007137CC">
      <w:pPr>
        <w:tabs>
          <w:tab w:val="left" w:pos="851"/>
        </w:tabs>
        <w:spacing w:after="0" w:line="240" w:lineRule="auto"/>
        <w:ind w:hanging="720"/>
        <w:jc w:val="both"/>
        <w:rPr>
          <w:rFonts w:ascii="Times New Roman" w:hAnsi="Times New Roman" w:cs="Times New Roman"/>
          <w:i/>
          <w:sz w:val="26"/>
          <w:szCs w:val="26"/>
        </w:rPr>
      </w:pPr>
      <w:r w:rsidRPr="00210BD3">
        <w:rPr>
          <w:rFonts w:ascii="Times New Roman" w:hAnsi="Times New Roman" w:cs="Times New Roman"/>
          <w:sz w:val="26"/>
          <w:szCs w:val="26"/>
        </w:rPr>
        <w:t xml:space="preserve">Shaw, U. D. (2018). The problems of unused books in Nigeria school libraries. </w:t>
      </w:r>
      <w:r w:rsidRPr="00210BD3">
        <w:rPr>
          <w:rFonts w:ascii="Times New Roman" w:hAnsi="Times New Roman" w:cs="Times New Roman"/>
          <w:i/>
          <w:sz w:val="26"/>
          <w:szCs w:val="26"/>
        </w:rPr>
        <w:t xml:space="preserve">Library Association Record, </w:t>
      </w:r>
      <w:r w:rsidRPr="00210BD3">
        <w:rPr>
          <w:rFonts w:ascii="Times New Roman" w:hAnsi="Times New Roman" w:cs="Times New Roman"/>
          <w:sz w:val="26"/>
          <w:szCs w:val="26"/>
        </w:rPr>
        <w:t>72(5), 221-229.</w:t>
      </w:r>
    </w:p>
    <w:p w:rsidR="00372A53" w:rsidRPr="00210BD3" w:rsidRDefault="00372A53" w:rsidP="007137CC">
      <w:pPr>
        <w:tabs>
          <w:tab w:val="left" w:pos="851"/>
        </w:tabs>
        <w:autoSpaceDE w:val="0"/>
        <w:autoSpaceDN w:val="0"/>
        <w:adjustRightInd w:val="0"/>
        <w:spacing w:after="0" w:line="240" w:lineRule="auto"/>
        <w:ind w:hanging="720"/>
        <w:jc w:val="both"/>
        <w:rPr>
          <w:rFonts w:ascii="Times New Roman" w:hAnsi="Times New Roman" w:cs="Times New Roman"/>
          <w:sz w:val="26"/>
          <w:szCs w:val="26"/>
        </w:rPr>
      </w:pPr>
      <w:r w:rsidRPr="00210BD3">
        <w:rPr>
          <w:rFonts w:ascii="Times New Roman" w:hAnsi="Times New Roman" w:cs="Times New Roman"/>
          <w:color w:val="000000"/>
          <w:sz w:val="26"/>
          <w:szCs w:val="26"/>
        </w:rPr>
        <w:t>Steel, K. E. (2013).</w:t>
      </w:r>
      <w:r w:rsidRPr="00210BD3">
        <w:rPr>
          <w:rFonts w:ascii="Times New Roman" w:hAnsi="Times New Roman" w:cs="Times New Roman"/>
          <w:sz w:val="26"/>
          <w:szCs w:val="26"/>
        </w:rPr>
        <w:t xml:space="preserve">Teachers’ attitude to work based on the provision of functional libraries in their schools in Cape Town, South Africa. </w:t>
      </w:r>
      <w:r w:rsidRPr="00210BD3">
        <w:rPr>
          <w:rFonts w:ascii="Times New Roman" w:hAnsi="Times New Roman" w:cs="Times New Roman"/>
          <w:i/>
          <w:sz w:val="26"/>
          <w:szCs w:val="26"/>
        </w:rPr>
        <w:t xml:space="preserve">International Journal of Library Science, </w:t>
      </w:r>
      <w:r w:rsidRPr="00210BD3">
        <w:rPr>
          <w:rFonts w:ascii="Times New Roman" w:hAnsi="Times New Roman" w:cs="Times New Roman"/>
          <w:sz w:val="26"/>
          <w:szCs w:val="26"/>
        </w:rPr>
        <w:t>7(4), 136-144.</w:t>
      </w:r>
    </w:p>
    <w:p w:rsidR="00372A53" w:rsidRPr="00210BD3" w:rsidRDefault="00372A53" w:rsidP="007137CC">
      <w:pPr>
        <w:tabs>
          <w:tab w:val="left" w:pos="851"/>
        </w:tabs>
        <w:spacing w:after="0" w:line="240" w:lineRule="auto"/>
        <w:ind w:hanging="720"/>
        <w:jc w:val="both"/>
        <w:rPr>
          <w:rFonts w:ascii="Times New Roman" w:hAnsi="Times New Roman" w:cs="Times New Roman"/>
          <w:i/>
          <w:sz w:val="26"/>
          <w:szCs w:val="26"/>
        </w:rPr>
      </w:pPr>
      <w:r w:rsidRPr="00210BD3">
        <w:rPr>
          <w:rFonts w:ascii="Times New Roman" w:hAnsi="Times New Roman" w:cs="Times New Roman"/>
          <w:sz w:val="26"/>
          <w:szCs w:val="26"/>
        </w:rPr>
        <w:t>Uche, S. C., &amp; Umoren, G. O. (2015).Implementing effective school-community relationship for effective administration.</w:t>
      </w:r>
      <w:r w:rsidRPr="00210BD3">
        <w:rPr>
          <w:rFonts w:ascii="Times New Roman" w:hAnsi="Times New Roman" w:cs="Times New Roman"/>
          <w:i/>
          <w:sz w:val="26"/>
          <w:szCs w:val="26"/>
        </w:rPr>
        <w:t xml:space="preserve">Journal of Educational Research, </w:t>
      </w:r>
      <w:r w:rsidRPr="00210BD3">
        <w:rPr>
          <w:rFonts w:ascii="Times New Roman" w:hAnsi="Times New Roman" w:cs="Times New Roman"/>
          <w:sz w:val="26"/>
          <w:szCs w:val="26"/>
        </w:rPr>
        <w:t>5(3), 201-209.</w:t>
      </w:r>
    </w:p>
    <w:p w:rsidR="00372A53" w:rsidRPr="00210BD3" w:rsidRDefault="00372A53" w:rsidP="007137CC">
      <w:pPr>
        <w:pStyle w:val="NoSpacing"/>
        <w:tabs>
          <w:tab w:val="left" w:pos="851"/>
        </w:tabs>
        <w:spacing w:before="0" w:beforeAutospacing="0"/>
        <w:ind w:hanging="720"/>
        <w:jc w:val="both"/>
        <w:rPr>
          <w:sz w:val="26"/>
          <w:szCs w:val="26"/>
        </w:rPr>
      </w:pPr>
      <w:r w:rsidRPr="00210BD3">
        <w:rPr>
          <w:sz w:val="26"/>
          <w:szCs w:val="26"/>
        </w:rPr>
        <w:t xml:space="preserve">Umoh, A. M. (2016). </w:t>
      </w:r>
      <w:r w:rsidRPr="00210BD3">
        <w:rPr>
          <w:i/>
          <w:sz w:val="26"/>
          <w:szCs w:val="26"/>
        </w:rPr>
        <w:t>Basic psychology of human learning</w:t>
      </w:r>
      <w:r w:rsidRPr="00210BD3">
        <w:rPr>
          <w:sz w:val="26"/>
          <w:szCs w:val="26"/>
        </w:rPr>
        <w:t>. Uyo-Nigeria: MEF Nig. Limited.</w:t>
      </w:r>
    </w:p>
    <w:p w:rsidR="00372A53" w:rsidRPr="00210BD3" w:rsidRDefault="00372A53" w:rsidP="007137CC">
      <w:pPr>
        <w:pStyle w:val="NoSpacing"/>
        <w:tabs>
          <w:tab w:val="left" w:pos="851"/>
        </w:tabs>
        <w:spacing w:before="0" w:beforeAutospacing="0"/>
        <w:ind w:hanging="720"/>
        <w:jc w:val="both"/>
        <w:rPr>
          <w:sz w:val="26"/>
          <w:szCs w:val="26"/>
        </w:rPr>
      </w:pPr>
      <w:r w:rsidRPr="00210BD3">
        <w:rPr>
          <w:sz w:val="26"/>
          <w:szCs w:val="26"/>
        </w:rPr>
        <w:t>Umoinyang, I. C. (2019).</w:t>
      </w:r>
      <w:r w:rsidRPr="00210BD3">
        <w:rPr>
          <w:i/>
          <w:sz w:val="26"/>
          <w:szCs w:val="26"/>
        </w:rPr>
        <w:t>Physical facilities and implementation of school curriculum</w:t>
      </w:r>
      <w:r w:rsidRPr="00210BD3">
        <w:rPr>
          <w:sz w:val="26"/>
          <w:szCs w:val="26"/>
        </w:rPr>
        <w:t>. Uyo: Eliman Printers</w:t>
      </w:r>
    </w:p>
    <w:p w:rsidR="00372A53" w:rsidRPr="00210BD3" w:rsidRDefault="00372A53" w:rsidP="007137CC">
      <w:pPr>
        <w:pStyle w:val="Heading2"/>
        <w:tabs>
          <w:tab w:val="left" w:pos="851"/>
        </w:tabs>
        <w:spacing w:before="0" w:beforeAutospacing="0" w:after="0" w:afterAutospacing="0"/>
        <w:ind w:hanging="720"/>
        <w:jc w:val="both"/>
        <w:rPr>
          <w:b w:val="0"/>
          <w:color w:val="000000"/>
          <w:sz w:val="26"/>
          <w:szCs w:val="26"/>
        </w:rPr>
      </w:pPr>
      <w:r w:rsidRPr="00210BD3">
        <w:rPr>
          <w:b w:val="0"/>
          <w:color w:val="000000"/>
          <w:sz w:val="26"/>
          <w:szCs w:val="26"/>
        </w:rPr>
        <w:t xml:space="preserve">Umoren, G. O. (2015). </w:t>
      </w:r>
      <w:r w:rsidRPr="00210BD3">
        <w:rPr>
          <w:b w:val="0"/>
          <w:i/>
          <w:color w:val="000000"/>
          <w:sz w:val="26"/>
          <w:szCs w:val="26"/>
        </w:rPr>
        <w:t>Foundation of teacher education</w:t>
      </w:r>
      <w:r w:rsidRPr="00210BD3">
        <w:rPr>
          <w:b w:val="0"/>
          <w:color w:val="000000"/>
          <w:sz w:val="26"/>
          <w:szCs w:val="26"/>
        </w:rPr>
        <w:t>. Ibadan: Benquality Press.</w:t>
      </w:r>
    </w:p>
    <w:p w:rsidR="00372A53" w:rsidRPr="00210BD3" w:rsidRDefault="00372A53" w:rsidP="007137CC">
      <w:pPr>
        <w:tabs>
          <w:tab w:val="left" w:pos="851"/>
        </w:tabs>
        <w:spacing w:after="0" w:line="240" w:lineRule="auto"/>
        <w:ind w:hanging="720"/>
        <w:jc w:val="both"/>
        <w:rPr>
          <w:rFonts w:ascii="Times New Roman" w:hAnsi="Times New Roman" w:cs="Times New Roman"/>
          <w:sz w:val="26"/>
          <w:szCs w:val="26"/>
        </w:rPr>
      </w:pPr>
      <w:r w:rsidRPr="00210BD3">
        <w:rPr>
          <w:rFonts w:ascii="Times New Roman" w:hAnsi="Times New Roman" w:cs="Times New Roman"/>
          <w:color w:val="000000"/>
          <w:sz w:val="26"/>
          <w:szCs w:val="26"/>
        </w:rPr>
        <w:t xml:space="preserve">Ureme, V. M. (2018). </w:t>
      </w:r>
      <w:r w:rsidRPr="00210BD3">
        <w:rPr>
          <w:rFonts w:ascii="Times New Roman" w:hAnsi="Times New Roman" w:cs="Times New Roman"/>
          <w:i/>
          <w:sz w:val="26"/>
          <w:szCs w:val="26"/>
        </w:rPr>
        <w:t>Contemporary issues in school administration</w:t>
      </w:r>
      <w:r w:rsidRPr="00210BD3">
        <w:rPr>
          <w:rFonts w:ascii="Times New Roman" w:hAnsi="Times New Roman" w:cs="Times New Roman"/>
          <w:sz w:val="26"/>
          <w:szCs w:val="26"/>
        </w:rPr>
        <w:t>. Uyo: Afangideh Press.</w:t>
      </w:r>
    </w:p>
    <w:p w:rsidR="00372A53" w:rsidRPr="00210BD3" w:rsidRDefault="00372A53" w:rsidP="007137CC">
      <w:pPr>
        <w:tabs>
          <w:tab w:val="left" w:pos="851"/>
        </w:tabs>
        <w:spacing w:after="0" w:line="240" w:lineRule="auto"/>
        <w:ind w:hanging="720"/>
        <w:rPr>
          <w:rFonts w:ascii="Times New Roman" w:hAnsi="Times New Roman" w:cs="Times New Roman"/>
          <w:sz w:val="26"/>
          <w:szCs w:val="26"/>
        </w:rPr>
      </w:pPr>
    </w:p>
    <w:p w:rsidR="00D812AC" w:rsidRPr="00210BD3" w:rsidRDefault="00D812AC" w:rsidP="007137CC">
      <w:pPr>
        <w:spacing w:after="0" w:line="240" w:lineRule="auto"/>
        <w:rPr>
          <w:rFonts w:ascii="Times New Roman" w:hAnsi="Times New Roman" w:cs="Times New Roman"/>
          <w:sz w:val="26"/>
          <w:szCs w:val="26"/>
        </w:rPr>
      </w:pPr>
    </w:p>
    <w:p w:rsidR="008723A9" w:rsidRDefault="008723A9" w:rsidP="007137CC">
      <w:pPr>
        <w:spacing w:after="0"/>
        <w:rPr>
          <w:rFonts w:ascii="Times New Roman" w:hAnsi="Times New Roman" w:cs="Times New Roman"/>
          <w:sz w:val="26"/>
          <w:szCs w:val="26"/>
        </w:rPr>
      </w:pPr>
      <w:r>
        <w:rPr>
          <w:rFonts w:ascii="Times New Roman" w:hAnsi="Times New Roman" w:cs="Times New Roman"/>
          <w:sz w:val="26"/>
          <w:szCs w:val="26"/>
        </w:rPr>
        <w:br w:type="page"/>
      </w:r>
    </w:p>
    <w:p w:rsidR="00D812AC" w:rsidRPr="00210BD3" w:rsidRDefault="00D812AC" w:rsidP="007137CC">
      <w:pPr>
        <w:spacing w:line="240" w:lineRule="auto"/>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lastRenderedPageBreak/>
        <w:t>TRANSPORTATION AND FINANCIAL AFTERMATH OF CORONA VIRUS DISEASE LOCKDOWN: IMPLICATIONS FOR EDUCATIONAL AND TOURISM DEVELOPMENT IN NIGERIA</w:t>
      </w:r>
    </w:p>
    <w:p w:rsidR="00D812AC" w:rsidRPr="00210BD3" w:rsidRDefault="00D812AC" w:rsidP="007137CC">
      <w:pPr>
        <w:spacing w:after="0" w:line="240" w:lineRule="auto"/>
        <w:contextualSpacing/>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t>Etim Nkanu Efut</w:t>
      </w:r>
    </w:p>
    <w:p w:rsidR="00BE3DBC"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Department of Environmental Education, </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Faculty of Arts and Social Science E</w:t>
      </w:r>
      <w:r w:rsidR="008100EB" w:rsidRPr="00210BD3">
        <w:rPr>
          <w:rFonts w:ascii="Times New Roman" w:eastAsia="Calibri" w:hAnsi="Times New Roman" w:cs="Times New Roman"/>
          <w:sz w:val="26"/>
          <w:szCs w:val="26"/>
        </w:rPr>
        <w:t>ducation, University of Calabar</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p>
    <w:p w:rsidR="00D812AC" w:rsidRPr="00210BD3" w:rsidRDefault="00D812AC" w:rsidP="007137CC">
      <w:pPr>
        <w:spacing w:after="0" w:line="240" w:lineRule="auto"/>
        <w:contextualSpacing/>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t>Alice Etim Echu</w:t>
      </w:r>
    </w:p>
    <w:p w:rsidR="00BE3DBC"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Department of Library and Information Science, </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Faculty of Arts and Social Science E</w:t>
      </w:r>
      <w:r w:rsidR="008100EB" w:rsidRPr="00210BD3">
        <w:rPr>
          <w:rFonts w:ascii="Times New Roman" w:eastAsia="Calibri" w:hAnsi="Times New Roman" w:cs="Times New Roman"/>
          <w:sz w:val="26"/>
          <w:szCs w:val="26"/>
        </w:rPr>
        <w:t>ducation, University of Calabar</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p>
    <w:p w:rsidR="00D812AC" w:rsidRPr="00210BD3" w:rsidRDefault="00D812AC" w:rsidP="007137CC">
      <w:pPr>
        <w:spacing w:after="0" w:line="240" w:lineRule="auto"/>
        <w:contextualSpacing/>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t>Edung Etim Asuquo</w:t>
      </w:r>
    </w:p>
    <w:p w:rsidR="00BE3DBC"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Department of Environmental Education, </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Faculty of Arts and Social Science E</w:t>
      </w:r>
      <w:r w:rsidR="008100EB" w:rsidRPr="00210BD3">
        <w:rPr>
          <w:rFonts w:ascii="Times New Roman" w:eastAsia="Calibri" w:hAnsi="Times New Roman" w:cs="Times New Roman"/>
          <w:sz w:val="26"/>
          <w:szCs w:val="26"/>
        </w:rPr>
        <w:t>ducation, University of Calabar</w:t>
      </w:r>
    </w:p>
    <w:p w:rsidR="00D812AC" w:rsidRPr="00210BD3" w:rsidRDefault="00D812AC" w:rsidP="007137CC">
      <w:pPr>
        <w:spacing w:after="0" w:line="240" w:lineRule="auto"/>
        <w:contextualSpacing/>
        <w:rPr>
          <w:rFonts w:ascii="Times New Roman" w:eastAsia="Calibri" w:hAnsi="Times New Roman" w:cs="Times New Roman"/>
          <w:sz w:val="26"/>
          <w:szCs w:val="26"/>
        </w:rPr>
      </w:pPr>
    </w:p>
    <w:p w:rsidR="00D812AC" w:rsidRPr="00210BD3" w:rsidRDefault="00D812AC" w:rsidP="007137CC">
      <w:pPr>
        <w:spacing w:after="0" w:line="240" w:lineRule="auto"/>
        <w:contextualSpacing/>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t>Abstract</w:t>
      </w:r>
    </w:p>
    <w:p w:rsidR="00D812AC" w:rsidRPr="00210BD3" w:rsidRDefault="00D812AC" w:rsidP="007137CC">
      <w:pPr>
        <w:spacing w:after="0" w:line="240" w:lineRule="auto"/>
        <w:contextualSpacing/>
        <w:jc w:val="both"/>
        <w:rPr>
          <w:rFonts w:ascii="Times New Roman" w:eastAsia="Calibri" w:hAnsi="Times New Roman" w:cs="Times New Roman"/>
          <w:i/>
          <w:sz w:val="26"/>
          <w:szCs w:val="26"/>
        </w:rPr>
      </w:pPr>
      <w:r w:rsidRPr="00210BD3">
        <w:rPr>
          <w:rFonts w:ascii="Times New Roman" w:eastAsia="Calibri" w:hAnsi="Times New Roman" w:cs="Times New Roman"/>
          <w:i/>
          <w:sz w:val="26"/>
          <w:szCs w:val="26"/>
        </w:rPr>
        <w:t xml:space="preserve">This paper focused on transportation and financial aftermath of Corona Virus disease lockdown and its implications for educational and tourism development in Nigeria. The study made a brief analysis of the origin of Covid-19, its nature and the global reaction of lockdown that affected virtually all facets of human endeavour to a halt. Importantly, the study described the implications of the Pandemic on education and tourism during and after the lockdown. Finally, the study expressed the final thought, including suggestion to cushion the post-effect of the Pandemic amidst fear of future </w:t>
      </w:r>
      <w:r w:rsidR="00587B02" w:rsidRPr="00210BD3">
        <w:rPr>
          <w:rFonts w:ascii="Times New Roman" w:eastAsia="Calibri" w:hAnsi="Times New Roman" w:cs="Times New Roman"/>
          <w:i/>
          <w:sz w:val="26"/>
          <w:szCs w:val="26"/>
        </w:rPr>
        <w:t>occurrence</w:t>
      </w:r>
      <w:r w:rsidRPr="00210BD3">
        <w:rPr>
          <w:rFonts w:ascii="Times New Roman" w:eastAsia="Calibri" w:hAnsi="Times New Roman" w:cs="Times New Roman"/>
          <w:i/>
          <w:sz w:val="26"/>
          <w:szCs w:val="26"/>
        </w:rPr>
        <w:t>.</w:t>
      </w:r>
    </w:p>
    <w:p w:rsidR="00D812AC" w:rsidRPr="00210BD3" w:rsidRDefault="00D812AC" w:rsidP="007137CC">
      <w:pPr>
        <w:spacing w:after="0" w:line="240" w:lineRule="auto"/>
        <w:contextualSpacing/>
        <w:jc w:val="center"/>
        <w:rPr>
          <w:rFonts w:ascii="Times New Roman" w:eastAsia="Calibri" w:hAnsi="Times New Roman" w:cs="Times New Roman"/>
          <w:sz w:val="26"/>
          <w:szCs w:val="26"/>
        </w:rPr>
      </w:pPr>
    </w:p>
    <w:p w:rsidR="00BE3DBC" w:rsidRDefault="00BE3DBC" w:rsidP="007137CC">
      <w:pPr>
        <w:spacing w:after="0" w:line="240" w:lineRule="auto"/>
        <w:contextualSpacing/>
        <w:rPr>
          <w:rFonts w:ascii="Times New Roman" w:eastAsia="Calibri" w:hAnsi="Times New Roman" w:cs="Times New Roman"/>
          <w:b/>
          <w:sz w:val="26"/>
          <w:szCs w:val="26"/>
        </w:rPr>
        <w:sectPr w:rsidR="00BE3DBC" w:rsidSect="00210BD3">
          <w:type w:val="continuous"/>
          <w:pgSz w:w="12240" w:h="15840" w:code="1"/>
          <w:pgMar w:top="1440" w:right="1440" w:bottom="1440" w:left="1440" w:header="706" w:footer="706" w:gutter="0"/>
          <w:cols w:space="708"/>
          <w:docGrid w:linePitch="360"/>
        </w:sectPr>
      </w:pPr>
    </w:p>
    <w:p w:rsidR="00D812AC" w:rsidRPr="00210BD3" w:rsidRDefault="00D812AC" w:rsidP="007137CC">
      <w:pPr>
        <w:spacing w:after="0" w:line="240" w:lineRule="auto"/>
        <w:contextualSpacing/>
        <w:rPr>
          <w:rFonts w:ascii="Times New Roman" w:eastAsia="Calibri" w:hAnsi="Times New Roman" w:cs="Times New Roman"/>
          <w:sz w:val="26"/>
          <w:szCs w:val="26"/>
        </w:rPr>
      </w:pPr>
      <w:r w:rsidRPr="00210BD3">
        <w:rPr>
          <w:rFonts w:ascii="Times New Roman" w:eastAsia="Calibri" w:hAnsi="Times New Roman" w:cs="Times New Roman"/>
          <w:b/>
          <w:sz w:val="26"/>
          <w:szCs w:val="26"/>
        </w:rPr>
        <w:lastRenderedPageBreak/>
        <w:t>Introduction</w:t>
      </w:r>
    </w:p>
    <w:p w:rsidR="00D812AC" w:rsidRPr="00210BD3" w:rsidRDefault="00D812AC" w:rsidP="007137CC">
      <w:pPr>
        <w:spacing w:after="0" w:line="240" w:lineRule="auto"/>
        <w:ind w:firstLine="567"/>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The dawn of Corona virus pandemic, also known as Covid-19 brought untold restrictions on movement and halted economic activities leading to financial crisis. This adversely affected the education and tourism sectors. It was on December 8, 2019, that the first case of the corona virus disease (covid-19) was reported in Wuhan, Hubei Province in China (World Health Organization (WHO), 2020). By January, 2020, the deadly virus was transmitted to many other parts of the world, which gave rise to uncertain and unstable situations around the globe. As the pandemic spread across the globe, it </w:t>
      </w:r>
      <w:r w:rsidRPr="00210BD3">
        <w:rPr>
          <w:rFonts w:ascii="Times New Roman" w:eastAsia="Calibri" w:hAnsi="Times New Roman" w:cs="Times New Roman"/>
          <w:color w:val="000000"/>
          <w:sz w:val="26"/>
          <w:szCs w:val="26"/>
        </w:rPr>
        <w:t xml:space="preserve">put a strain previously unimagined on the global </w:t>
      </w:r>
      <w:r w:rsidRPr="00210BD3">
        <w:rPr>
          <w:rFonts w:ascii="Times New Roman" w:eastAsia="Calibri" w:hAnsi="Times New Roman" w:cs="Times New Roman"/>
          <w:color w:val="000000"/>
          <w:sz w:val="26"/>
          <w:szCs w:val="26"/>
        </w:rPr>
        <w:lastRenderedPageBreak/>
        <w:t>health system, contributing to mortality and morbidity on a grand scale</w:t>
      </w:r>
      <w:r w:rsidRPr="00210BD3">
        <w:rPr>
          <w:rFonts w:ascii="Times New Roman" w:eastAsia="Calibri" w:hAnsi="Times New Roman" w:cs="Times New Roman"/>
          <w:sz w:val="26"/>
          <w:szCs w:val="26"/>
        </w:rPr>
        <w:t xml:space="preserve">. This was because the virus is highly communicable, its transmission mode is from person to person, and transmission occurs based on close contacts, mainly through respiratory droplets released when the infected person sneezes or coughs (Harapan </w:t>
      </w:r>
      <w:r w:rsidRPr="00210BD3">
        <w:rPr>
          <w:rFonts w:ascii="Times New Roman" w:eastAsia="Calibri" w:hAnsi="Times New Roman" w:cs="Times New Roman"/>
          <w:i/>
          <w:iCs/>
          <w:sz w:val="26"/>
          <w:szCs w:val="26"/>
        </w:rPr>
        <w:t>et al</w:t>
      </w:r>
      <w:r w:rsidRPr="00210BD3">
        <w:rPr>
          <w:rFonts w:ascii="Times New Roman" w:eastAsia="Calibri" w:hAnsi="Times New Roman" w:cs="Times New Roman"/>
          <w:sz w:val="26"/>
          <w:szCs w:val="26"/>
        </w:rPr>
        <w:t>., 2020). In 29</w:t>
      </w:r>
      <w:r w:rsidRPr="00210BD3">
        <w:rPr>
          <w:rFonts w:ascii="Times New Roman" w:eastAsia="Calibri" w:hAnsi="Times New Roman" w:cs="Times New Roman"/>
          <w:sz w:val="26"/>
          <w:szCs w:val="26"/>
          <w:vertAlign w:val="superscript"/>
        </w:rPr>
        <w:t>th</w:t>
      </w:r>
      <w:r w:rsidRPr="00210BD3">
        <w:rPr>
          <w:rFonts w:ascii="Times New Roman" w:eastAsia="Calibri" w:hAnsi="Times New Roman" w:cs="Times New Roman"/>
          <w:sz w:val="26"/>
          <w:szCs w:val="26"/>
        </w:rPr>
        <w:t xml:space="preserve"> January, 2020, there were 6,065 cases globally across 16 countries with about 140 deaths, thus based on the rapid spread of the virus, WHO declared the disease a pandemic on January 30, 2020 (WHO, 2020). </w:t>
      </w:r>
      <w:r w:rsidRPr="00210BD3">
        <w:rPr>
          <w:rFonts w:ascii="Times New Roman" w:eastAsia="Calibri" w:hAnsi="Times New Roman" w:cs="Times New Roman"/>
          <w:color w:val="000000"/>
          <w:sz w:val="26"/>
          <w:szCs w:val="26"/>
        </w:rPr>
        <w:t xml:space="preserve">To checkmate and slow down the rapid spread of the virus, governments across the globe took measures to curb social interaction. This </w:t>
      </w:r>
      <w:r w:rsidRPr="00210BD3">
        <w:rPr>
          <w:rFonts w:ascii="Times New Roman" w:eastAsia="Calibri" w:hAnsi="Times New Roman" w:cs="Times New Roman"/>
          <w:color w:val="000000"/>
          <w:sz w:val="26"/>
          <w:szCs w:val="26"/>
        </w:rPr>
        <w:lastRenderedPageBreak/>
        <w:t xml:space="preserve">they did by ordering the closure of </w:t>
      </w:r>
      <w:r w:rsidRPr="00210BD3">
        <w:rPr>
          <w:rFonts w:ascii="Times New Roman" w:eastAsia="Calibri" w:hAnsi="Times New Roman" w:cs="Times New Roman"/>
          <w:sz w:val="26"/>
          <w:szCs w:val="26"/>
        </w:rPr>
        <w:t>all categories of human activities in the world were forcibly shut down and people were made to stay indoors to avoid contacting the virus (Verhoven, Tsakitzdos, Philips &amp; Van Royen, 2020). The halt included strictly enforced inter-state border closures; intra-state movement quarantines; enforced shutting down all manner of hospitality services and businesses, enforcement of transportation movements except for essential goods and services such as medicines, water and food.</w:t>
      </w:r>
    </w:p>
    <w:p w:rsidR="00D812AC" w:rsidRPr="00210BD3" w:rsidRDefault="00D812AC"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The pandemic’s spread was officially believed to have reached Nigeria on 27</w:t>
      </w:r>
      <w:r w:rsidRPr="00210BD3">
        <w:rPr>
          <w:rFonts w:ascii="Times New Roman" w:eastAsia="Calibri" w:hAnsi="Times New Roman" w:cs="Times New Roman"/>
          <w:sz w:val="26"/>
          <w:szCs w:val="26"/>
          <w:vertAlign w:val="superscript"/>
        </w:rPr>
        <w:t>th</w:t>
      </w:r>
      <w:r w:rsidRPr="00210BD3">
        <w:rPr>
          <w:rFonts w:ascii="Times New Roman" w:eastAsia="Calibri" w:hAnsi="Times New Roman" w:cs="Times New Roman"/>
          <w:sz w:val="26"/>
          <w:szCs w:val="26"/>
        </w:rPr>
        <w:t xml:space="preserve"> February, 2020 when an Italian travelled into the country through the Lagos International Airport (Chinwe, Mathew &amp; Bigman, 2021). The passenger in question came from Milan, Italy (the 4</w:t>
      </w:r>
      <w:r w:rsidRPr="00210BD3">
        <w:rPr>
          <w:rFonts w:ascii="Times New Roman" w:eastAsia="Calibri" w:hAnsi="Times New Roman" w:cs="Times New Roman"/>
          <w:sz w:val="26"/>
          <w:szCs w:val="26"/>
          <w:vertAlign w:val="superscript"/>
        </w:rPr>
        <w:t>th</w:t>
      </w:r>
      <w:r w:rsidRPr="00210BD3">
        <w:rPr>
          <w:rFonts w:ascii="Times New Roman" w:eastAsia="Calibri" w:hAnsi="Times New Roman" w:cs="Times New Roman"/>
          <w:sz w:val="26"/>
          <w:szCs w:val="26"/>
        </w:rPr>
        <w:t xml:space="preserve"> country with high incidence of 371 cases as at February, 2020). The passenger worked with a multinational company in Ogun State and after exhibiting some symptoms associated with the virus, he was tested and confirmed covid-19 positive. On 9</w:t>
      </w:r>
      <w:r w:rsidRPr="00210BD3">
        <w:rPr>
          <w:rFonts w:ascii="Times New Roman" w:eastAsia="Calibri" w:hAnsi="Times New Roman" w:cs="Times New Roman"/>
          <w:sz w:val="26"/>
          <w:szCs w:val="26"/>
          <w:vertAlign w:val="superscript"/>
        </w:rPr>
        <w:t>th</w:t>
      </w:r>
      <w:r w:rsidRPr="00210BD3">
        <w:rPr>
          <w:rFonts w:ascii="Times New Roman" w:eastAsia="Calibri" w:hAnsi="Times New Roman" w:cs="Times New Roman"/>
          <w:sz w:val="26"/>
          <w:szCs w:val="26"/>
        </w:rPr>
        <w:t xml:space="preserve"> March, 2020, the second case was reported in the same area by a Nigerian who had close contact with the Italian. After those two incidences, more cases were discovered on daily basis in other parts of the country thus necessitating remedial strategies by the government. It was after the second reported case that the Federal Government set up a Presidential Task Force (PTF) on covid</w:t>
      </w:r>
      <w:r w:rsidRPr="00210BD3">
        <w:rPr>
          <w:rFonts w:ascii="Times New Roman" w:eastAsia="Calibri" w:hAnsi="Times New Roman" w:cs="Times New Roman"/>
          <w:sz w:val="26"/>
          <w:szCs w:val="26"/>
        </w:rPr>
        <w:noBreakHyphen/>
        <w:t>19 on 9</w:t>
      </w:r>
      <w:r w:rsidRPr="00210BD3">
        <w:rPr>
          <w:rFonts w:ascii="Times New Roman" w:eastAsia="Calibri" w:hAnsi="Times New Roman" w:cs="Times New Roman"/>
          <w:sz w:val="26"/>
          <w:szCs w:val="26"/>
          <w:vertAlign w:val="superscript"/>
        </w:rPr>
        <w:t>th</w:t>
      </w:r>
      <w:r w:rsidRPr="00210BD3">
        <w:rPr>
          <w:rFonts w:ascii="Times New Roman" w:eastAsia="Calibri" w:hAnsi="Times New Roman" w:cs="Times New Roman"/>
          <w:sz w:val="26"/>
          <w:szCs w:val="26"/>
        </w:rPr>
        <w:t xml:space="preserve"> March, 2020, with similar covid</w:t>
      </w:r>
      <w:r w:rsidRPr="00210BD3">
        <w:rPr>
          <w:rFonts w:ascii="Times New Roman" w:eastAsia="Calibri" w:hAnsi="Times New Roman" w:cs="Times New Roman"/>
          <w:sz w:val="26"/>
          <w:szCs w:val="26"/>
        </w:rPr>
        <w:noBreakHyphen/>
        <w:t>19 task forces being set up at the state levels to work in collaboration with the PTF (Federal Government of Nigeria, 2020).</w:t>
      </w:r>
    </w:p>
    <w:p w:rsidR="00185426" w:rsidRPr="00210BD3" w:rsidRDefault="00185426" w:rsidP="007137CC">
      <w:pPr>
        <w:spacing w:after="0" w:line="240" w:lineRule="auto"/>
        <w:ind w:firstLine="720"/>
        <w:jc w:val="both"/>
        <w:rPr>
          <w:rFonts w:ascii="Times New Roman" w:eastAsia="Calibri" w:hAnsi="Times New Roman" w:cs="Times New Roman"/>
          <w:sz w:val="26"/>
          <w:szCs w:val="26"/>
        </w:rPr>
      </w:pPr>
    </w:p>
    <w:p w:rsidR="00D812AC" w:rsidRPr="00210BD3" w:rsidRDefault="00D812AC" w:rsidP="007137CC">
      <w:pPr>
        <w:spacing w:after="0" w:line="240" w:lineRule="auto"/>
        <w:ind w:firstLine="720"/>
        <w:contextualSpacing/>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Tourism - a socio-cultural, educational and economic concept involves the movement of people to places or countries outside their usual environment for personal, educational or business purposes has increasingly been found to impact significantly on the socio-economic and educational development of numerous countries. Nigeria is not an exception to this. The constituents of the tourism industry range from small scale local businesses to multinational organizations and as a service industry, it consists of the numerous sectors. According to Oruonye and Ahmed (2020), it consists of the following: Both natural and man-made destination attractions; hospitality -  this includes hotels, lodges, camping(s), resorts, motels, tourist homes (including farmhouses), guesthouses, restaurants, cafes, eateries (fast food joints) among others; all manner of transportation modes (air, water, road, rail and foot); entertainment services which include casinos, social halls, churches and mosques; information services for travel agencies (for all forms of transportation), tour operators, event management companies, etc.; government agencies for conservatories with legal frameworks for which they were established; educational and research institutions, and; </w:t>
      </w:r>
      <w:r w:rsidRPr="00210BD3">
        <w:rPr>
          <w:rFonts w:ascii="Times New Roman" w:eastAsia="Calibri" w:hAnsi="Times New Roman" w:cs="Times New Roman"/>
          <w:color w:val="000000"/>
          <w:sz w:val="26"/>
          <w:szCs w:val="26"/>
        </w:rPr>
        <w:t>s</w:t>
      </w:r>
      <w:r w:rsidRPr="00210BD3">
        <w:rPr>
          <w:rFonts w:ascii="Times New Roman" w:eastAsia="Calibri" w:hAnsi="Times New Roman" w:cs="Times New Roman"/>
          <w:sz w:val="26"/>
          <w:szCs w:val="26"/>
        </w:rPr>
        <w:t>takeholders and their services (that is, shareholders such as the local community, local and state governments).</w:t>
      </w:r>
    </w:p>
    <w:p w:rsidR="00D812AC" w:rsidRPr="00210BD3" w:rsidRDefault="00D812AC" w:rsidP="007137CC">
      <w:pPr>
        <w:spacing w:after="0" w:line="240" w:lineRule="auto"/>
        <w:ind w:firstLine="720"/>
        <w:contextualSpacing/>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In addition, Bello and Bello (2021) explained that tourism refers to all businesses which are responsible for providing accommodation, food, drinks, and other supplementary services </w:t>
      </w:r>
      <w:r w:rsidRPr="00210BD3">
        <w:rPr>
          <w:rFonts w:ascii="Times New Roman" w:eastAsia="Calibri" w:hAnsi="Times New Roman" w:cs="Times New Roman"/>
          <w:sz w:val="26"/>
          <w:szCs w:val="26"/>
        </w:rPr>
        <w:lastRenderedPageBreak/>
        <w:t xml:space="preserve">required by vacationers, including assurance of a reasonable degree of comfort, safety, and above all, adequate relaxation. There are many types of tourism depending on an individual’s intent of visit and other criteria (Napoleon, 2021). The various types include; </w:t>
      </w:r>
      <w:r w:rsidRPr="00210BD3">
        <w:rPr>
          <w:rFonts w:ascii="Times New Roman" w:eastAsia="Calibri" w:hAnsi="Times New Roman" w:cs="Times New Roman"/>
          <w:color w:val="000000"/>
          <w:sz w:val="26"/>
          <w:szCs w:val="26"/>
        </w:rPr>
        <w:t>recreational or leisure; cultural and heritage; sports/adventure; health; convention, and; i</w:t>
      </w:r>
      <w:r w:rsidRPr="00210BD3">
        <w:rPr>
          <w:rFonts w:ascii="Times New Roman" w:eastAsia="Calibri" w:hAnsi="Times New Roman" w:cs="Times New Roman"/>
          <w:sz w:val="26"/>
          <w:szCs w:val="26"/>
        </w:rPr>
        <w:t xml:space="preserve">ncentive and edu-tourism. For Alexander and Godwin (2020), the different types of tourism are eco-tourism, cultural tourism, religious/mass tourism, health tourism, urban tourism, adventure tourism, sex tourism, ethic tourism and education tourism. </w:t>
      </w:r>
    </w:p>
    <w:p w:rsidR="00D812AC" w:rsidRPr="00210BD3" w:rsidRDefault="00D812AC" w:rsidP="007137CC">
      <w:pPr>
        <w:spacing w:after="0" w:line="240" w:lineRule="auto"/>
        <w:ind w:firstLine="720"/>
        <w:contextualSpacing/>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Tourism sites in the country such as Obudu Mountain Resort in Cross River State, Olumo rock in Ogun State, Yankari game reserve in Bauchi State, Lekki conversation centre in Lagos State, Zuma rock in Abuja and Awhum waterfall in Enugu State were completely shut down. This did not only bring tourism industry in the country to a standstill and negatively affected revenue generation, but people lost so many jobs. As tourism and its related businesses was hardest hit by the pandemic, the survival of businesses throughout the tourism ecosystem is at risk and the outlook remains highly uncertain for now.</w:t>
      </w:r>
    </w:p>
    <w:p w:rsidR="00D812AC" w:rsidRPr="00210BD3" w:rsidRDefault="00D812AC" w:rsidP="007137CC">
      <w:pPr>
        <w:spacing w:after="0" w:line="240" w:lineRule="auto"/>
        <w:ind w:firstLine="720"/>
        <w:contextualSpacing/>
        <w:jc w:val="both"/>
        <w:rPr>
          <w:rFonts w:ascii="Times New Roman" w:eastAsia="Calibri" w:hAnsi="Times New Roman" w:cs="Times New Roman"/>
          <w:b/>
          <w:sz w:val="26"/>
          <w:szCs w:val="26"/>
        </w:rPr>
      </w:pPr>
    </w:p>
    <w:p w:rsidR="00D812AC" w:rsidRPr="00210BD3" w:rsidRDefault="00D812AC" w:rsidP="007137CC">
      <w:pPr>
        <w:spacing w:after="0" w:line="240" w:lineRule="auto"/>
        <w:ind w:firstLine="720"/>
        <w:contextualSpacing/>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Transportation impacts/implications for educational and tourism potentials</w:t>
      </w:r>
    </w:p>
    <w:p w:rsidR="00D812AC" w:rsidRPr="00210BD3" w:rsidRDefault="00D812AC" w:rsidP="007137CC">
      <w:pPr>
        <w:spacing w:after="0" w:line="240" w:lineRule="auto"/>
        <w:ind w:firstLine="720"/>
        <w:contextualSpacing/>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The concept of transportation impact of the pandemic on tourism entails the extent which all forms of transportation (land, air and water) and its related activities were either stagnated or enhanced during the pandemic’s two </w:t>
      </w:r>
      <w:r w:rsidRPr="00210BD3">
        <w:rPr>
          <w:rFonts w:ascii="Times New Roman" w:eastAsia="Calibri" w:hAnsi="Times New Roman" w:cs="Times New Roman"/>
          <w:sz w:val="26"/>
          <w:szCs w:val="26"/>
        </w:rPr>
        <w:lastRenderedPageBreak/>
        <w:t xml:space="preserve">phases. After the spread of the virus was declared a pandemic by the World Health Organization in early 2020, many countries including Nigeria made strenuous efforts to close their airspaces to flights and also to close their land and sea borders. For Nigeria, airports and borders were officially closed to all kinds of movements and transportation on the 26th of March, 2020, the Federal Government of Nigeria announced the closure of airports and its borders to all kinds of movement and transportation (Olowookere </w:t>
      </w:r>
      <w:r w:rsidRPr="00210BD3">
        <w:rPr>
          <w:rFonts w:ascii="Times New Roman" w:eastAsia="Calibri" w:hAnsi="Times New Roman" w:cs="Times New Roman"/>
          <w:i/>
          <w:iCs/>
          <w:sz w:val="26"/>
          <w:szCs w:val="26"/>
        </w:rPr>
        <w:t>et al</w:t>
      </w:r>
      <w:r w:rsidRPr="00210BD3">
        <w:rPr>
          <w:rFonts w:ascii="Times New Roman" w:eastAsia="Calibri" w:hAnsi="Times New Roman" w:cs="Times New Roman"/>
          <w:sz w:val="26"/>
          <w:szCs w:val="26"/>
        </w:rPr>
        <w:t xml:space="preserve">., 2021). </w:t>
      </w:r>
      <w:r w:rsidRPr="00210BD3">
        <w:rPr>
          <w:rFonts w:ascii="Times New Roman" w:eastAsia="Calibri" w:hAnsi="Times New Roman" w:cs="Times New Roman"/>
          <w:color w:val="000000"/>
          <w:sz w:val="26"/>
          <w:szCs w:val="26"/>
        </w:rPr>
        <w:t xml:space="preserve">The restrictions enacted and enforced by the Federal Government to checkmate the spread of the virus, especially the total closure of the country’s borders put a strain on inbound tourists and business travelers who wanted coming from outside the country </w:t>
      </w:r>
      <w:r w:rsidRPr="00210BD3">
        <w:rPr>
          <w:rFonts w:ascii="Times New Roman" w:eastAsia="Calibri" w:hAnsi="Times New Roman" w:cs="Times New Roman"/>
          <w:sz w:val="26"/>
          <w:szCs w:val="26"/>
        </w:rPr>
        <w:t>(Nwabuishi &amp; Awritefe, 2022).</w:t>
      </w:r>
    </w:p>
    <w:p w:rsidR="00D812AC" w:rsidRPr="00210BD3" w:rsidRDefault="00D812AC" w:rsidP="007137CC">
      <w:pPr>
        <w:spacing w:after="0" w:line="240" w:lineRule="auto"/>
        <w:ind w:firstLine="720"/>
        <w:contextualSpacing/>
        <w:jc w:val="both"/>
        <w:rPr>
          <w:rFonts w:ascii="Times New Roman" w:eastAsia="Calibri" w:hAnsi="Times New Roman" w:cs="Times New Roman"/>
          <w:sz w:val="26"/>
          <w:szCs w:val="26"/>
        </w:rPr>
      </w:pPr>
      <w:r w:rsidRPr="00210BD3">
        <w:rPr>
          <w:rFonts w:ascii="Times New Roman" w:eastAsia="Calibri" w:hAnsi="Times New Roman" w:cs="Times New Roman"/>
          <w:color w:val="000000"/>
          <w:sz w:val="26"/>
          <w:szCs w:val="26"/>
        </w:rPr>
        <w:t xml:space="preserve">Many airlines were forced to completely close their network of connections between certain countries or reduce it to a barest minimum. At the peak of the pandemic, most airlines flew virtually empty as a result of mass rider terminations (Olowookere </w:t>
      </w:r>
      <w:r w:rsidRPr="00210BD3">
        <w:rPr>
          <w:rFonts w:ascii="Times New Roman" w:eastAsia="Calibri" w:hAnsi="Times New Roman" w:cs="Times New Roman"/>
          <w:i/>
          <w:iCs/>
          <w:color w:val="000000"/>
          <w:sz w:val="26"/>
          <w:szCs w:val="26"/>
        </w:rPr>
        <w:t>et al</w:t>
      </w:r>
      <w:r w:rsidRPr="00210BD3">
        <w:rPr>
          <w:rFonts w:ascii="Times New Roman" w:eastAsia="Calibri" w:hAnsi="Times New Roman" w:cs="Times New Roman"/>
          <w:color w:val="000000"/>
          <w:sz w:val="26"/>
          <w:szCs w:val="26"/>
        </w:rPr>
        <w:t>., 2021). This led to a reduction of staff for most of the companies and for some that were hardest hit, a total closure had to be enforced due to bankruptcy (Korinth, 2022). For some others, they were crippled by severe financial debts thus causing huge losses within the aviation sector (</w:t>
      </w:r>
      <w:r w:rsidRPr="00210BD3">
        <w:rPr>
          <w:rFonts w:ascii="Times New Roman" w:eastAsia="Calibri" w:hAnsi="Times New Roman" w:cs="Times New Roman"/>
          <w:sz w:val="26"/>
          <w:szCs w:val="26"/>
        </w:rPr>
        <w:t xml:space="preserve">Subramanya &amp; Kermanshachi, 2021). The International Air Transport Association (IATA) estimated that Nigeria lost 2.2 million overseas-bound travelers and $434 million revenue in 2020 alone (Oyebade, 2020). The United Nations World Tourism Organization </w:t>
      </w:r>
      <w:r w:rsidRPr="00210BD3">
        <w:rPr>
          <w:rFonts w:ascii="Times New Roman" w:eastAsia="Calibri" w:hAnsi="Times New Roman" w:cs="Times New Roman"/>
          <w:sz w:val="26"/>
          <w:szCs w:val="26"/>
        </w:rPr>
        <w:lastRenderedPageBreak/>
        <w:t xml:space="preserve">(UNWTO) reported in 2020 that for the first time ever in recorded history, 100 per cent of global destinations introduced travel restrictions which resulted in international tourism being completely suspended while domestic tourism was severely curtailed by intra-country lockdown conditions imposed within many countries (Chukwu, 2020). </w:t>
      </w:r>
    </w:p>
    <w:p w:rsidR="00D812AC" w:rsidRPr="00210BD3" w:rsidRDefault="00D812AC" w:rsidP="007137CC">
      <w:pPr>
        <w:spacing w:after="0" w:line="240" w:lineRule="auto"/>
        <w:ind w:firstLine="720"/>
        <w:jc w:val="both"/>
        <w:rPr>
          <w:rFonts w:ascii="Times New Roman" w:eastAsia="Calibri" w:hAnsi="Times New Roman" w:cs="Times New Roman"/>
          <w:color w:val="000000"/>
          <w:sz w:val="26"/>
          <w:szCs w:val="26"/>
        </w:rPr>
      </w:pPr>
      <w:r w:rsidRPr="00210BD3">
        <w:rPr>
          <w:rFonts w:ascii="Times New Roman" w:eastAsia="Calibri" w:hAnsi="Times New Roman" w:cs="Times New Roman"/>
          <w:sz w:val="26"/>
          <w:szCs w:val="26"/>
        </w:rPr>
        <w:t>On the one hand, land transportation within a few weeks of the pandemic, public transport was critically altered mostly in large cities as metro and bus ridership plunged to 70-90% worldwide (Subramanya &amp; Kermanshachi, 2021). Due to the critical alteration of road transportation, it severely hampered transportation-based revenue generation as sources such as t</w:t>
      </w:r>
      <w:r w:rsidRPr="00210BD3">
        <w:rPr>
          <w:rFonts w:ascii="Times New Roman" w:eastAsia="Calibri" w:hAnsi="Times New Roman" w:cs="Times New Roman"/>
          <w:color w:val="000000"/>
          <w:sz w:val="26"/>
          <w:szCs w:val="26"/>
        </w:rPr>
        <w:t xml:space="preserve">oll bridges, tolls, paid parking, fines, fuel consumption, and fuel taxes were adversely impacted upon </w:t>
      </w:r>
      <w:r w:rsidRPr="00210BD3">
        <w:rPr>
          <w:rFonts w:ascii="Times New Roman" w:eastAsia="Calibri" w:hAnsi="Times New Roman" w:cs="Times New Roman"/>
          <w:sz w:val="26"/>
          <w:szCs w:val="26"/>
        </w:rPr>
        <w:t>(Winfree &amp; Zietsman, 2020)</w:t>
      </w:r>
      <w:r w:rsidRPr="00210BD3">
        <w:rPr>
          <w:rFonts w:ascii="Times New Roman" w:eastAsia="Calibri" w:hAnsi="Times New Roman" w:cs="Times New Roman"/>
          <w:color w:val="000000"/>
          <w:sz w:val="26"/>
          <w:szCs w:val="26"/>
        </w:rPr>
        <w:t>.</w:t>
      </w:r>
      <w:r w:rsidRPr="00210BD3">
        <w:rPr>
          <w:rFonts w:ascii="Times New Roman" w:eastAsia="Calibri" w:hAnsi="Times New Roman" w:cs="Times New Roman"/>
          <w:sz w:val="26"/>
          <w:szCs w:val="26"/>
        </w:rPr>
        <w:t xml:space="preserve"> On the other hand, the greatly reduced extent of road transportation led to a significant decrease in each of accidents and carbon emissions from exhaust fumes (Subramanya &amp; Kermanshachi, 2021). There was free flow of traffic as most road transportation modes stayed off the streets. The crushing impact of the virus on the transportation industry devastated hospitality businesses in the country as many small hotels, resorts, motel, travel agencies and other travel related organizations had to close their services based on the spread of corvid-19. For some unfortunate foreign visitors/tourists who were caught up with the lockdown in Nigeria ended up finding themselves trapped in our country and stayed until the ban on travels was lifted. </w:t>
      </w:r>
      <w:r w:rsidRPr="00210BD3">
        <w:rPr>
          <w:rFonts w:ascii="Times New Roman" w:eastAsia="Calibri" w:hAnsi="Times New Roman" w:cs="Times New Roman"/>
          <w:color w:val="000000"/>
          <w:sz w:val="26"/>
          <w:szCs w:val="26"/>
        </w:rPr>
        <w:t xml:space="preserve">During the pandemic, airlines and airports, aircraft </w:t>
      </w:r>
      <w:r w:rsidRPr="00210BD3">
        <w:rPr>
          <w:rFonts w:ascii="Times New Roman" w:eastAsia="Calibri" w:hAnsi="Times New Roman" w:cs="Times New Roman"/>
          <w:color w:val="000000"/>
          <w:sz w:val="26"/>
          <w:szCs w:val="26"/>
        </w:rPr>
        <w:lastRenderedPageBreak/>
        <w:t xml:space="preserve">manufacturers, car manufacturers and dealerships, cruise lines, public transit, and private for-hire vehicles (Taxis, Uber, Lyft, Bolt etc.) all suffered severely while sea transportation and the trucking industry somehow remained robust (Olowookere </w:t>
      </w:r>
      <w:r w:rsidRPr="00210BD3">
        <w:rPr>
          <w:rFonts w:ascii="Times New Roman" w:eastAsia="Calibri" w:hAnsi="Times New Roman" w:cs="Times New Roman"/>
          <w:i/>
          <w:iCs/>
          <w:color w:val="000000"/>
          <w:sz w:val="26"/>
          <w:szCs w:val="26"/>
        </w:rPr>
        <w:t>et al</w:t>
      </w:r>
      <w:r w:rsidRPr="00210BD3">
        <w:rPr>
          <w:rFonts w:ascii="Times New Roman" w:eastAsia="Calibri" w:hAnsi="Times New Roman" w:cs="Times New Roman"/>
          <w:color w:val="000000"/>
          <w:sz w:val="26"/>
          <w:szCs w:val="26"/>
        </w:rPr>
        <w:t>., 2021).</w:t>
      </w:r>
    </w:p>
    <w:p w:rsidR="00BE3DBC" w:rsidRDefault="00BE3DBC" w:rsidP="007137CC">
      <w:pPr>
        <w:spacing w:after="0" w:line="240" w:lineRule="auto"/>
        <w:contextualSpacing/>
        <w:jc w:val="both"/>
        <w:rPr>
          <w:rFonts w:ascii="Times New Roman" w:eastAsia="Calibri" w:hAnsi="Times New Roman" w:cs="Times New Roman"/>
          <w:color w:val="000000"/>
          <w:sz w:val="26"/>
          <w:szCs w:val="26"/>
        </w:rPr>
      </w:pPr>
    </w:p>
    <w:p w:rsidR="00D812AC" w:rsidRPr="00210BD3" w:rsidRDefault="00D812AC" w:rsidP="007137CC">
      <w:pPr>
        <w:spacing w:after="0" w:line="240" w:lineRule="auto"/>
        <w:contextualSpacing/>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Financial impacts/implications for educational and tourism potentials</w:t>
      </w:r>
    </w:p>
    <w:p w:rsidR="00D812AC" w:rsidRPr="00210BD3" w:rsidRDefault="00D812AC"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By definition, the financial impact of covid-19 on education/tourism and its related businesses is viewed strictly from the standpoint of issues revolving round revenue generation. Such issues include financial losses, income flow, payment of loans, rating on stock exchange markets, financial liquidation (putting one’s business up for sales due to bankruptcy), and innovative ways to generate revenue (Ataide &amp; Abomaye-Nimenibo, 2021). According to Nwabuishi and Awritefe (2022), border closures and strict restrictions concerning tourism and educational tourism-related businesses severely affected Nigeria revenue generation capabilities. Also strict measures within metropolis, cities and towns made it impossible for tourism-related small, medium and large scale enterprise owners (including both public and private school owners) to operate and generate revenue as compared with pre-covid-19 period.</w:t>
      </w:r>
    </w:p>
    <w:p w:rsidR="00D812AC" w:rsidRPr="00210BD3" w:rsidRDefault="00D812AC"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The revenue generated by hotels before pre-covid-19 in Nigeria expanded at 22.6% compound annual rate of $US1.1 billion in 2018 (Nwabuishi &amp; Awritefe, 2022) and it was expected to grow by an additional 507 million dollars by the end of 2020. However, based on reports from four of the renowned listed hotels on the Nigerian Stock Exchange, a </w:t>
      </w:r>
      <w:r w:rsidRPr="00210BD3">
        <w:rPr>
          <w:rFonts w:ascii="Times New Roman" w:eastAsia="Calibri" w:hAnsi="Times New Roman" w:cs="Times New Roman"/>
          <w:sz w:val="26"/>
          <w:szCs w:val="26"/>
        </w:rPr>
        <w:lastRenderedPageBreak/>
        <w:t>revenue decline of nearly 90% was reported due to the impact of the pandemic (Nairametrics, 2020). Aside the drastic drop in revenue generation from tourism related businesses, the volatility of the Nigerian Stock Exchange Market led to most business owners to pull out their investments and redirect them to the US Treasury Bonds which they considered as a safe haven (Ataide &amp; Abomaye-Nimenibo, 2021). This depicted that the pandemic had a significant negative impact on revenue generation capacity of the country’s tourism businesses. Added to that was the uncontrolled rate in which tourism-related businesses were put up for sale due to bankruptcy (Nwabuishi &amp; Awritefe, 2022).</w:t>
      </w:r>
    </w:p>
    <w:p w:rsidR="00D812AC" w:rsidRPr="00210BD3" w:rsidRDefault="00D812AC"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Another indicator of the financial impact of the pandemic on tourism and educational tourism was the extent which the businesses were capable of repaying loans obtained from banks. Ataide and Abomaye-Nimenibo (2021) observed that most educational tourism and tourism-related businesses that obtained loans from banks faced insurmountable barriers towards repaying them back during the pandemic to the point that it weakened some banks’ stability and dependability. This led to banks developing the reluctance to give further loans thus making more educational tourism and tourism-related businesses to fold up due to lack of funds to continue operations. In an effort to remain operational during the pandemic period, some businesses innovatively set up </w:t>
      </w:r>
      <w:r w:rsidRPr="00210BD3">
        <w:rPr>
          <w:rFonts w:ascii="Times New Roman" w:eastAsia="Calibri" w:hAnsi="Times New Roman" w:cs="Times New Roman"/>
          <w:sz w:val="26"/>
          <w:szCs w:val="26"/>
        </w:rPr>
        <w:lastRenderedPageBreak/>
        <w:t xml:space="preserve">digital revenue generation facilities so as to discourage people from handling paper money which served to propagate the virus, yet even at </w:t>
      </w:r>
      <w:r w:rsidR="00185426" w:rsidRPr="00210BD3">
        <w:rPr>
          <w:rFonts w:ascii="Times New Roman" w:eastAsia="Calibri" w:hAnsi="Times New Roman" w:cs="Times New Roman"/>
          <w:sz w:val="26"/>
          <w:szCs w:val="26"/>
        </w:rPr>
        <w:t>that</w:t>
      </w:r>
      <w:r w:rsidRPr="00210BD3">
        <w:rPr>
          <w:rFonts w:ascii="Times New Roman" w:eastAsia="Calibri" w:hAnsi="Times New Roman" w:cs="Times New Roman"/>
          <w:sz w:val="26"/>
          <w:szCs w:val="26"/>
        </w:rPr>
        <w:t xml:space="preserve"> most were unsuccessful (Ataide &amp; Abomaye-Nimenibo, 2021). The financial losses due to the pandemic on educational and tourism-related businesses was monumental (Olowookere, Ala &amp; Olanrewaju, 2021) as most of the businesses found it extraordinarily difficult to generate revenue, pay back loans obtained or even explore other innovative ways to generate income which would keep them operational.</w:t>
      </w:r>
    </w:p>
    <w:p w:rsidR="00BE3DBC" w:rsidRDefault="00BE3DBC" w:rsidP="007137CC">
      <w:pPr>
        <w:spacing w:after="0" w:line="240" w:lineRule="auto"/>
        <w:jc w:val="both"/>
        <w:rPr>
          <w:rFonts w:ascii="Times New Roman" w:eastAsia="Calibri" w:hAnsi="Times New Roman" w:cs="Times New Roman"/>
          <w:b/>
          <w:sz w:val="26"/>
          <w:szCs w:val="26"/>
        </w:rPr>
      </w:pPr>
    </w:p>
    <w:p w:rsidR="00D812AC" w:rsidRPr="00210BD3" w:rsidRDefault="00D812AC" w:rsidP="007137CC">
      <w:pPr>
        <w:spacing w:after="0"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Final thought</w:t>
      </w:r>
    </w:p>
    <w:p w:rsidR="00D812AC" w:rsidRPr="00210BD3" w:rsidRDefault="00D812AC" w:rsidP="007137CC">
      <w:pPr>
        <w:spacing w:after="0" w:line="240" w:lineRule="auto"/>
        <w:ind w:firstLine="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Manyeducational institutions, transportation companies and tourism sites were shattered in parts, or whole. These sectors were the primary victims of corvid-19 pandemic. As a result of the shutdown, these very important sectors of the Nigeria economy is yet to fully recover from the shocks and ravaging impacts of the scourge. </w:t>
      </w:r>
    </w:p>
    <w:p w:rsidR="00D812AC" w:rsidRPr="00210BD3" w:rsidRDefault="00D812AC" w:rsidP="007137CC">
      <w:pPr>
        <w:spacing w:after="0" w:line="240" w:lineRule="auto"/>
        <w:ind w:firstLine="720"/>
        <w:jc w:val="both"/>
        <w:rPr>
          <w:rFonts w:ascii="Times New Roman" w:eastAsia="Calibri" w:hAnsi="Times New Roman" w:cs="Times New Roman"/>
          <w:color w:val="FF0000"/>
          <w:sz w:val="26"/>
          <w:szCs w:val="26"/>
        </w:rPr>
      </w:pPr>
      <w:r w:rsidRPr="00210BD3">
        <w:rPr>
          <w:rFonts w:ascii="Times New Roman" w:eastAsia="Calibri" w:hAnsi="Times New Roman" w:cs="Times New Roman"/>
          <w:sz w:val="26"/>
          <w:szCs w:val="26"/>
        </w:rPr>
        <w:t>Therefore, it is advisable to operate the educational system with enterprising ventures as alternative revenue generation; and businesses operating with reserves to meet unforeseen natural disasters such as Covid-19 that can emerge without signals.   Again, both educational institutions, transport businesses, and tourism industry should be equipped with modern facilities for smooth of operation should there be re-emergence of Covid-19, or any other natural occurance.</w:t>
      </w:r>
    </w:p>
    <w:p w:rsidR="00BE3DBC" w:rsidRDefault="00BE3DBC" w:rsidP="007137CC">
      <w:pPr>
        <w:spacing w:after="0" w:line="240" w:lineRule="auto"/>
        <w:ind w:firstLine="720"/>
        <w:jc w:val="both"/>
        <w:rPr>
          <w:rFonts w:ascii="Times New Roman" w:eastAsia="Calibri" w:hAnsi="Times New Roman" w:cs="Times New Roman"/>
          <w:b/>
          <w:sz w:val="26"/>
          <w:szCs w:val="26"/>
        </w:rPr>
        <w:sectPr w:rsidR="00BE3DBC" w:rsidSect="00BE3DBC">
          <w:type w:val="continuous"/>
          <w:pgSz w:w="12240" w:h="15840" w:code="1"/>
          <w:pgMar w:top="1440" w:right="1440" w:bottom="1440" w:left="1440" w:header="706" w:footer="706" w:gutter="0"/>
          <w:cols w:num="2" w:space="708"/>
          <w:docGrid w:linePitch="360"/>
        </w:sectPr>
      </w:pPr>
    </w:p>
    <w:p w:rsidR="00D812AC" w:rsidRPr="00210BD3" w:rsidRDefault="00D812AC" w:rsidP="007137CC">
      <w:pPr>
        <w:spacing w:after="0" w:line="240" w:lineRule="auto"/>
        <w:ind w:firstLine="720"/>
        <w:jc w:val="both"/>
        <w:rPr>
          <w:rFonts w:ascii="Times New Roman" w:eastAsia="Calibri" w:hAnsi="Times New Roman" w:cs="Times New Roman"/>
          <w:b/>
          <w:sz w:val="26"/>
          <w:szCs w:val="26"/>
        </w:rPr>
      </w:pPr>
    </w:p>
    <w:p w:rsidR="00D812AC" w:rsidRPr="00210BD3" w:rsidRDefault="00D812AC" w:rsidP="007137CC">
      <w:pPr>
        <w:spacing w:after="0" w:line="240" w:lineRule="auto"/>
        <w:ind w:firstLine="720"/>
        <w:jc w:val="both"/>
        <w:rPr>
          <w:rFonts w:ascii="Times New Roman" w:eastAsia="Calibri" w:hAnsi="Times New Roman" w:cs="Times New Roman"/>
          <w:b/>
          <w:sz w:val="26"/>
          <w:szCs w:val="26"/>
        </w:rPr>
      </w:pPr>
    </w:p>
    <w:p w:rsidR="00D812AC" w:rsidRPr="00210BD3" w:rsidRDefault="00D812AC" w:rsidP="007137CC">
      <w:pPr>
        <w:spacing w:after="0" w:line="240" w:lineRule="auto"/>
        <w:ind w:firstLine="720"/>
        <w:jc w:val="both"/>
        <w:rPr>
          <w:rFonts w:ascii="Times New Roman" w:eastAsia="Calibri" w:hAnsi="Times New Roman" w:cs="Times New Roman"/>
          <w:b/>
          <w:sz w:val="26"/>
          <w:szCs w:val="26"/>
        </w:rPr>
      </w:pPr>
    </w:p>
    <w:p w:rsidR="00D812AC" w:rsidRPr="00210BD3" w:rsidRDefault="00D812AC" w:rsidP="007137CC">
      <w:pPr>
        <w:spacing w:after="0" w:line="240" w:lineRule="auto"/>
        <w:jc w:val="both"/>
        <w:rPr>
          <w:rFonts w:ascii="Times New Roman" w:eastAsia="Calibri" w:hAnsi="Times New Roman" w:cs="Times New Roman"/>
          <w:b/>
          <w:sz w:val="26"/>
          <w:szCs w:val="26"/>
        </w:rPr>
      </w:pPr>
    </w:p>
    <w:p w:rsidR="00D812AC" w:rsidRPr="00210BD3" w:rsidRDefault="00BE3DBC" w:rsidP="007137CC">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sidR="00D812AC" w:rsidRPr="00210BD3">
        <w:rPr>
          <w:rFonts w:ascii="Times New Roman" w:eastAsia="Calibri" w:hAnsi="Times New Roman" w:cs="Times New Roman"/>
          <w:b/>
          <w:sz w:val="26"/>
          <w:szCs w:val="26"/>
        </w:rPr>
        <w:lastRenderedPageBreak/>
        <w:t>References</w:t>
      </w:r>
    </w:p>
    <w:p w:rsidR="00D812AC" w:rsidRPr="00BE3DBC" w:rsidRDefault="00D812AC" w:rsidP="007137CC">
      <w:pPr>
        <w:autoSpaceDE w:val="0"/>
        <w:autoSpaceDN w:val="0"/>
        <w:adjustRightInd w:val="0"/>
        <w:spacing w:after="0" w:line="240" w:lineRule="auto"/>
        <w:ind w:hanging="426"/>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Alexander, C. B., &amp; Godwin, K. (2020).Exploring the tourism potentials of Port Harcourt City.</w:t>
      </w:r>
      <w:r w:rsidRPr="00BE3DBC">
        <w:rPr>
          <w:rFonts w:ascii="Times New Roman" w:eastAsia="Calibri" w:hAnsi="Times New Roman" w:cs="Times New Roman"/>
          <w:i/>
          <w:iCs/>
          <w:color w:val="000000" w:themeColor="text1"/>
          <w:sz w:val="26"/>
          <w:szCs w:val="26"/>
        </w:rPr>
        <w:t xml:space="preserve">Social Science, Humanities and Sustainability Research, 1 </w:t>
      </w:r>
      <w:r w:rsidRPr="00BE3DBC">
        <w:rPr>
          <w:rFonts w:ascii="Times New Roman" w:eastAsia="Calibri" w:hAnsi="Times New Roman" w:cs="Times New Roman"/>
          <w:color w:val="000000" w:themeColor="text1"/>
          <w:sz w:val="26"/>
          <w:szCs w:val="26"/>
        </w:rPr>
        <w:t>(1) 16-26</w:t>
      </w:r>
    </w:p>
    <w:p w:rsidR="00D812AC" w:rsidRPr="00BE3DBC" w:rsidRDefault="00D812AC" w:rsidP="007137CC">
      <w:pPr>
        <w:tabs>
          <w:tab w:val="left" w:pos="720"/>
        </w:tabs>
        <w:autoSpaceDE w:val="0"/>
        <w:autoSpaceDN w:val="0"/>
        <w:adjustRightInd w:val="0"/>
        <w:spacing w:after="0" w:line="240" w:lineRule="auto"/>
        <w:ind w:hanging="720"/>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Ataide, H., &amp; Abomaye-Nimenibo, W. A. S. (2021).The economic effect of the covid-19 epidemic on Nigeria economy.</w:t>
      </w:r>
      <w:r w:rsidRPr="00BE3DBC">
        <w:rPr>
          <w:rFonts w:ascii="Times New Roman" w:eastAsia="Calibri" w:hAnsi="Times New Roman" w:cs="Times New Roman"/>
          <w:i/>
          <w:iCs/>
          <w:color w:val="000000" w:themeColor="text1"/>
          <w:sz w:val="26"/>
          <w:szCs w:val="26"/>
        </w:rPr>
        <w:t xml:space="preserve">Global Journal of Human - Social Science: G - Linguistics &amp; Education, 21 </w:t>
      </w:r>
      <w:r w:rsidRPr="00BE3DBC">
        <w:rPr>
          <w:rFonts w:ascii="Times New Roman" w:eastAsia="Calibri" w:hAnsi="Times New Roman" w:cs="Times New Roman"/>
          <w:color w:val="000000" w:themeColor="text1"/>
          <w:sz w:val="26"/>
          <w:szCs w:val="26"/>
        </w:rPr>
        <w:t>(10) 43-55</w:t>
      </w:r>
    </w:p>
    <w:p w:rsidR="00D812AC" w:rsidRPr="00BE3DBC" w:rsidRDefault="00D812AC" w:rsidP="007137CC">
      <w:pPr>
        <w:tabs>
          <w:tab w:val="left" w:pos="720"/>
        </w:tabs>
        <w:autoSpaceDE w:val="0"/>
        <w:autoSpaceDN w:val="0"/>
        <w:adjustRightInd w:val="0"/>
        <w:spacing w:after="0" w:line="240" w:lineRule="auto"/>
        <w:ind w:hanging="720"/>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Bello, M. B., &amp; Bello, Y. O. (2021). Consequences of Covid-19 pandemic on hospitality industry: The Nigeria experience. </w:t>
      </w:r>
      <w:r w:rsidRPr="00BE3DBC">
        <w:rPr>
          <w:rFonts w:ascii="Times New Roman" w:eastAsia="Calibri" w:hAnsi="Times New Roman" w:cs="Times New Roman"/>
          <w:i/>
          <w:iCs/>
          <w:color w:val="000000" w:themeColor="text1"/>
          <w:sz w:val="26"/>
          <w:szCs w:val="26"/>
        </w:rPr>
        <w:t xml:space="preserve">International Journal of Research and Innovation in Social Science (IJRISS), V </w:t>
      </w:r>
      <w:r w:rsidRPr="00BE3DBC">
        <w:rPr>
          <w:rFonts w:ascii="Times New Roman" w:eastAsia="Calibri" w:hAnsi="Times New Roman" w:cs="Times New Roman"/>
          <w:color w:val="000000" w:themeColor="text1"/>
          <w:sz w:val="26"/>
          <w:szCs w:val="26"/>
        </w:rPr>
        <w:t>(I) 422-425</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Chinwe, M. O., Mathew, D. Y., &amp; Bigman, A. N. (2021).Impact of corona virus disease-2019 (covid-19) pandemic on social lives and interactions of Nigerian citizens.</w:t>
      </w:r>
      <w:r w:rsidRPr="00BE3DBC">
        <w:rPr>
          <w:rFonts w:ascii="Times New Roman" w:eastAsia="Calibri" w:hAnsi="Times New Roman" w:cs="Times New Roman"/>
          <w:i/>
          <w:iCs/>
          <w:color w:val="000000" w:themeColor="text1"/>
          <w:sz w:val="26"/>
          <w:szCs w:val="26"/>
        </w:rPr>
        <w:t>Archives of Medicine, 1 3</w:t>
      </w:r>
      <w:r w:rsidRPr="00BE3DBC">
        <w:rPr>
          <w:rFonts w:ascii="Times New Roman" w:eastAsia="Calibri" w:hAnsi="Times New Roman" w:cs="Times New Roman"/>
          <w:color w:val="000000" w:themeColor="text1"/>
          <w:sz w:val="26"/>
          <w:szCs w:val="26"/>
        </w:rPr>
        <w:t xml:space="preserve">(3) 1-15 </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Chukwu, N. D. (2020). The social-economic and environmental impacts of covid-19 on tourism.</w:t>
      </w:r>
      <w:r w:rsidRPr="00BE3DBC">
        <w:rPr>
          <w:rFonts w:ascii="Times New Roman" w:eastAsia="Calibri" w:hAnsi="Times New Roman" w:cs="Times New Roman"/>
          <w:i/>
          <w:iCs/>
          <w:color w:val="000000" w:themeColor="text1"/>
          <w:sz w:val="26"/>
          <w:szCs w:val="26"/>
        </w:rPr>
        <w:t>International Digital Organization for Scientific Research</w:t>
      </w:r>
      <w:r w:rsidRPr="00BE3DBC">
        <w:rPr>
          <w:rFonts w:ascii="Times New Roman" w:eastAsia="Calibri" w:hAnsi="Times New Roman" w:cs="Times New Roman"/>
          <w:color w:val="000000" w:themeColor="text1"/>
          <w:sz w:val="26"/>
          <w:szCs w:val="26"/>
        </w:rPr>
        <w:t>, 5, 1-6</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Federal Government of Nigeria.</w:t>
      </w:r>
      <w:r w:rsidRPr="00BE3DBC">
        <w:rPr>
          <w:rFonts w:ascii="Times New Roman" w:eastAsia="Calibri" w:hAnsi="Times New Roman" w:cs="Times New Roman"/>
          <w:i/>
          <w:iCs/>
          <w:color w:val="000000" w:themeColor="text1"/>
          <w:sz w:val="26"/>
          <w:szCs w:val="26"/>
        </w:rPr>
        <w:t>Presidential Task Force on covid</w:t>
      </w:r>
      <w:r w:rsidRPr="00BE3DBC">
        <w:rPr>
          <w:rFonts w:ascii="Times New Roman" w:eastAsia="MS Mincho" w:hAnsi="Times New Roman" w:cs="Times New Roman"/>
          <w:i/>
          <w:iCs/>
          <w:color w:val="000000" w:themeColor="text1"/>
          <w:sz w:val="26"/>
          <w:szCs w:val="26"/>
        </w:rPr>
        <w:noBreakHyphen/>
      </w:r>
      <w:r w:rsidRPr="00BE3DBC">
        <w:rPr>
          <w:rFonts w:ascii="Times New Roman" w:eastAsia="Calibri" w:hAnsi="Times New Roman" w:cs="Times New Roman"/>
          <w:i/>
          <w:iCs/>
          <w:color w:val="000000" w:themeColor="text1"/>
          <w:sz w:val="26"/>
          <w:szCs w:val="26"/>
        </w:rPr>
        <w:t>19 - State House; 2020</w:t>
      </w:r>
      <w:r w:rsidRPr="00BE3DBC">
        <w:rPr>
          <w:rFonts w:ascii="Times New Roman" w:eastAsia="Calibri" w:hAnsi="Times New Roman" w:cs="Times New Roman"/>
          <w:color w:val="000000" w:themeColor="text1"/>
          <w:sz w:val="26"/>
          <w:szCs w:val="26"/>
        </w:rPr>
        <w:t>. Available at https://statehouse.gov.ng/covid19/objectives/</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Harapan, H., Itoh, N., Yufika, A., Winardi, W., Keam, S., Te, H., &amp; Mudatsir, M. (2020). Coronavirus disease 2019 (covid-19): A literature review. </w:t>
      </w:r>
      <w:r w:rsidRPr="00BE3DBC">
        <w:rPr>
          <w:rFonts w:ascii="Times New Roman" w:eastAsia="Calibri" w:hAnsi="Times New Roman" w:cs="Times New Roman"/>
          <w:i/>
          <w:iCs/>
          <w:color w:val="000000" w:themeColor="text1"/>
          <w:sz w:val="26"/>
          <w:szCs w:val="26"/>
        </w:rPr>
        <w:t xml:space="preserve">Journal of Infection and Public Health, 13 </w:t>
      </w:r>
      <w:r w:rsidRPr="00BE3DBC">
        <w:rPr>
          <w:rFonts w:ascii="Times New Roman" w:eastAsia="Calibri" w:hAnsi="Times New Roman" w:cs="Times New Roman"/>
          <w:color w:val="000000" w:themeColor="text1"/>
          <w:sz w:val="26"/>
          <w:szCs w:val="26"/>
        </w:rPr>
        <w:t xml:space="preserve">(5) 667-673 </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Korinth, B. (2022). Impact of the COVID-19 pandemic on international tourism income in tourism receiving countries.</w:t>
      </w:r>
      <w:r w:rsidRPr="00BE3DBC">
        <w:rPr>
          <w:rFonts w:ascii="Times New Roman" w:eastAsia="Calibri" w:hAnsi="Times New Roman" w:cs="Times New Roman"/>
          <w:i/>
          <w:iCs/>
          <w:color w:val="000000" w:themeColor="text1"/>
          <w:sz w:val="26"/>
          <w:szCs w:val="26"/>
        </w:rPr>
        <w:t xml:space="preserve">Sustainability, 14 </w:t>
      </w:r>
      <w:r w:rsidRPr="00BE3DBC">
        <w:rPr>
          <w:rFonts w:ascii="Times New Roman" w:eastAsia="Calibri" w:hAnsi="Times New Roman" w:cs="Times New Roman"/>
          <w:color w:val="000000" w:themeColor="text1"/>
          <w:sz w:val="26"/>
          <w:szCs w:val="26"/>
        </w:rPr>
        <w:t>(12550), (e-journal). Retrieved from https://doi.org/10.3390/su141912550</w:t>
      </w:r>
    </w:p>
    <w:p w:rsidR="00D812AC" w:rsidRPr="00BE3DBC" w:rsidRDefault="00D812AC" w:rsidP="007137CC">
      <w:pPr>
        <w:tabs>
          <w:tab w:val="left" w:pos="720"/>
        </w:tabs>
        <w:autoSpaceDE w:val="0"/>
        <w:autoSpaceDN w:val="0"/>
        <w:adjustRightInd w:val="0"/>
        <w:spacing w:after="0" w:line="240" w:lineRule="auto"/>
        <w:ind w:hanging="720"/>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Nairametrics (2020).</w:t>
      </w:r>
      <w:r w:rsidRPr="00BE3DBC">
        <w:rPr>
          <w:rFonts w:ascii="Times New Roman" w:eastAsia="Calibri" w:hAnsi="Times New Roman" w:cs="Times New Roman"/>
          <w:i/>
          <w:iCs/>
          <w:color w:val="000000" w:themeColor="text1"/>
          <w:sz w:val="26"/>
          <w:szCs w:val="26"/>
        </w:rPr>
        <w:t>Hotels in Nigeria are on the verge of collapse</w:t>
      </w:r>
      <w:r w:rsidRPr="00BE3DBC">
        <w:rPr>
          <w:rFonts w:ascii="Times New Roman" w:eastAsia="Calibri" w:hAnsi="Times New Roman" w:cs="Times New Roman"/>
          <w:color w:val="000000" w:themeColor="text1"/>
          <w:sz w:val="26"/>
          <w:szCs w:val="26"/>
        </w:rPr>
        <w:t>. Retrieved from: nairametrics.com/hotels-in-nigeria-are-on-the-verge-of-collapse</w:t>
      </w:r>
    </w:p>
    <w:p w:rsidR="00D812AC" w:rsidRPr="00BE3DBC" w:rsidRDefault="00D812AC" w:rsidP="007137CC">
      <w:pPr>
        <w:tabs>
          <w:tab w:val="left" w:pos="720"/>
        </w:tabs>
        <w:autoSpaceDE w:val="0"/>
        <w:autoSpaceDN w:val="0"/>
        <w:adjustRightInd w:val="0"/>
        <w:spacing w:after="0" w:line="240" w:lineRule="auto"/>
        <w:ind w:hanging="720"/>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Napoleon, E. (2021). Tourism development in Nigeria: Issues and challenges. </w:t>
      </w:r>
      <w:r w:rsidRPr="00BE3DBC">
        <w:rPr>
          <w:rFonts w:ascii="Times New Roman" w:eastAsia="Calibri" w:hAnsi="Times New Roman" w:cs="Times New Roman"/>
          <w:i/>
          <w:iCs/>
          <w:color w:val="000000" w:themeColor="text1"/>
          <w:sz w:val="26"/>
          <w:szCs w:val="26"/>
        </w:rPr>
        <w:t xml:space="preserve">Global Scientific Journals, 9 </w:t>
      </w:r>
      <w:r w:rsidRPr="00BE3DBC">
        <w:rPr>
          <w:rFonts w:ascii="Times New Roman" w:eastAsia="Calibri" w:hAnsi="Times New Roman" w:cs="Times New Roman"/>
          <w:color w:val="000000" w:themeColor="text1"/>
          <w:sz w:val="26"/>
          <w:szCs w:val="26"/>
        </w:rPr>
        <w:t>(7) 3529-3542</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Nwabuishi, H., &amp; Awritefe, O. D. (2022).The impact of covid-19 on environmental resources in River Ethiope Region, Delta State, Nigeria.</w:t>
      </w:r>
      <w:r w:rsidRPr="00BE3DBC">
        <w:rPr>
          <w:rFonts w:ascii="Times New Roman" w:eastAsia="Calibri" w:hAnsi="Times New Roman" w:cs="Times New Roman"/>
          <w:i/>
          <w:iCs/>
          <w:color w:val="000000" w:themeColor="text1"/>
          <w:sz w:val="26"/>
          <w:szCs w:val="26"/>
        </w:rPr>
        <w:t xml:space="preserve">Journal of Research in Humanities and Social Science, 10 </w:t>
      </w:r>
      <w:r w:rsidRPr="00BE3DBC">
        <w:rPr>
          <w:rFonts w:ascii="Times New Roman" w:eastAsia="Calibri" w:hAnsi="Times New Roman" w:cs="Times New Roman"/>
          <w:color w:val="000000" w:themeColor="text1"/>
          <w:sz w:val="26"/>
          <w:szCs w:val="26"/>
        </w:rPr>
        <w:t>(12) 361-369</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 Olowookere, C. A., Ala, A. A., &amp; Olanrewaju, T. S. (2021). Evaluation of the potential impacts of covid-19 pandemic on hospitality and tourism in Nigeria.</w:t>
      </w:r>
      <w:r w:rsidRPr="00BE3DBC">
        <w:rPr>
          <w:rFonts w:ascii="Times New Roman" w:eastAsia="Calibri" w:hAnsi="Times New Roman" w:cs="Times New Roman"/>
          <w:i/>
          <w:iCs/>
          <w:color w:val="000000" w:themeColor="text1"/>
          <w:sz w:val="26"/>
          <w:szCs w:val="26"/>
        </w:rPr>
        <w:t xml:space="preserve">International Journal of Education and Social Science Research (IJESSR), 4 </w:t>
      </w:r>
      <w:r w:rsidRPr="00BE3DBC">
        <w:rPr>
          <w:rFonts w:ascii="Times New Roman" w:eastAsia="Calibri" w:hAnsi="Times New Roman" w:cs="Times New Roman"/>
          <w:color w:val="000000" w:themeColor="text1"/>
          <w:sz w:val="26"/>
          <w:szCs w:val="26"/>
        </w:rPr>
        <w:t>(6) 270-279</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Oruonye, E. D., &amp; Ahmed, Y. M. (2020).An appraisal of the potential impacts of covid-19 on tourism in Nigeria.</w:t>
      </w:r>
      <w:r w:rsidRPr="00BE3DBC">
        <w:rPr>
          <w:rFonts w:ascii="Times New Roman" w:eastAsia="Calibri" w:hAnsi="Times New Roman" w:cs="Times New Roman"/>
          <w:i/>
          <w:iCs/>
          <w:color w:val="000000" w:themeColor="text1"/>
          <w:sz w:val="26"/>
          <w:szCs w:val="26"/>
        </w:rPr>
        <w:t xml:space="preserve">Journal of Economics and Technology Research, 1 </w:t>
      </w:r>
      <w:r w:rsidRPr="00BE3DBC">
        <w:rPr>
          <w:rFonts w:ascii="Times New Roman" w:eastAsia="Calibri" w:hAnsi="Times New Roman" w:cs="Times New Roman"/>
          <w:color w:val="000000" w:themeColor="text1"/>
          <w:sz w:val="26"/>
          <w:szCs w:val="26"/>
        </w:rPr>
        <w:t xml:space="preserve">(1) 32-41 </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Oyebade, W. (2020). Covid-19 could cost Nigerian airlines $434 million, 22,200 jobs. In </w:t>
      </w:r>
      <w:r w:rsidRPr="00BE3DBC">
        <w:rPr>
          <w:rFonts w:ascii="Times New Roman" w:eastAsia="Calibri" w:hAnsi="Times New Roman" w:cs="Times New Roman"/>
          <w:i/>
          <w:iCs/>
          <w:color w:val="000000" w:themeColor="text1"/>
          <w:sz w:val="26"/>
          <w:szCs w:val="26"/>
        </w:rPr>
        <w:t>Guardian Business Online News</w:t>
      </w:r>
      <w:r w:rsidRPr="00BE3DBC">
        <w:rPr>
          <w:rFonts w:ascii="Times New Roman" w:eastAsia="Calibri" w:hAnsi="Times New Roman" w:cs="Times New Roman"/>
          <w:color w:val="000000" w:themeColor="text1"/>
          <w:sz w:val="26"/>
          <w:szCs w:val="26"/>
        </w:rPr>
        <w:t xml:space="preserve">. Available at </w:t>
      </w:r>
      <w:hyperlink r:id="rId21" w:history="1">
        <w:r w:rsidRPr="00BE3DBC">
          <w:rPr>
            <w:rStyle w:val="Hyperlink"/>
            <w:rFonts w:ascii="Times New Roman" w:eastAsia="Calibri" w:hAnsi="Times New Roman" w:cs="Times New Roman"/>
            <w:color w:val="000000" w:themeColor="text1"/>
            <w:sz w:val="26"/>
            <w:szCs w:val="26"/>
            <w:u w:val="none"/>
          </w:rPr>
          <w:t>https://guardian.ng/business-services/covid-19-could-cost-nigerian-airlines-434-million-22200-job s/</w:t>
        </w:r>
      </w:hyperlink>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Subramanya, K., &amp; Kermanshachi, S. (2021). </w:t>
      </w:r>
      <w:r w:rsidRPr="00BE3DBC">
        <w:rPr>
          <w:rFonts w:ascii="Times New Roman" w:eastAsia="Calibri" w:hAnsi="Times New Roman" w:cs="Times New Roman"/>
          <w:i/>
          <w:iCs/>
          <w:color w:val="000000" w:themeColor="text1"/>
          <w:sz w:val="26"/>
          <w:szCs w:val="26"/>
        </w:rPr>
        <w:t>Impact of covid-19 on transportation industry: Comparative analysis of road, air, and rail transportation modes</w:t>
      </w:r>
      <w:r w:rsidRPr="00BE3DBC">
        <w:rPr>
          <w:rFonts w:ascii="Times New Roman" w:eastAsia="Calibri" w:hAnsi="Times New Roman" w:cs="Times New Roman"/>
          <w:color w:val="000000" w:themeColor="text1"/>
          <w:sz w:val="26"/>
          <w:szCs w:val="26"/>
        </w:rPr>
        <w:t>. ASCE International Conference on Transportation and Development (ICTD 2021) – Transportation Operations, Technologies and Safety held between June 8</w:t>
      </w:r>
      <w:r w:rsidRPr="00BE3DBC">
        <w:rPr>
          <w:rFonts w:ascii="Times New Roman" w:eastAsia="Calibri" w:hAnsi="Times New Roman" w:cs="Times New Roman"/>
          <w:color w:val="000000" w:themeColor="text1"/>
          <w:sz w:val="26"/>
          <w:szCs w:val="26"/>
          <w:vertAlign w:val="superscript"/>
        </w:rPr>
        <w:t xml:space="preserve">th </w:t>
      </w:r>
      <w:r w:rsidRPr="00BE3DBC">
        <w:rPr>
          <w:rFonts w:ascii="Times New Roman" w:eastAsia="Calibri" w:hAnsi="Times New Roman" w:cs="Times New Roman"/>
          <w:color w:val="000000" w:themeColor="text1"/>
          <w:sz w:val="26"/>
          <w:szCs w:val="26"/>
        </w:rPr>
        <w:t>- 10</w:t>
      </w:r>
      <w:r w:rsidRPr="00BE3DBC">
        <w:rPr>
          <w:rFonts w:ascii="Times New Roman" w:eastAsia="Calibri" w:hAnsi="Times New Roman" w:cs="Times New Roman"/>
          <w:color w:val="000000" w:themeColor="text1"/>
          <w:sz w:val="26"/>
          <w:szCs w:val="26"/>
          <w:vertAlign w:val="superscript"/>
        </w:rPr>
        <w:t>th</w:t>
      </w:r>
      <w:r w:rsidRPr="00BE3DBC">
        <w:rPr>
          <w:rFonts w:ascii="Times New Roman" w:eastAsia="Calibri" w:hAnsi="Times New Roman" w:cs="Times New Roman"/>
          <w:color w:val="000000" w:themeColor="text1"/>
          <w:sz w:val="26"/>
          <w:szCs w:val="26"/>
        </w:rPr>
        <w:t>, 2021, pp.230-242. Retrieved from https://ascelibrary.org/doi/10.1061/9780784483534.020</w:t>
      </w:r>
    </w:p>
    <w:p w:rsidR="00D812AC" w:rsidRPr="00BE3DBC" w:rsidRDefault="00D812AC" w:rsidP="007137CC">
      <w:pPr>
        <w:tabs>
          <w:tab w:val="left" w:pos="720"/>
        </w:tabs>
        <w:autoSpaceDE w:val="0"/>
        <w:autoSpaceDN w:val="0"/>
        <w:adjustRightInd w:val="0"/>
        <w:spacing w:after="0" w:line="240" w:lineRule="auto"/>
        <w:ind w:hanging="720"/>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lastRenderedPageBreak/>
        <w:t xml:space="preserve">Verhoeven, V., Tsakitzidis, G., Philips, H., &amp; Van-Royen, P. (2020). Impact of the covid-19 pandemic on the core functions of primary care: Will the cure be worse than the disease? A qualitative interview study in Flemish GPs. </w:t>
      </w:r>
      <w:r w:rsidRPr="00BE3DBC">
        <w:rPr>
          <w:rFonts w:ascii="Times New Roman" w:eastAsia="Calibri" w:hAnsi="Times New Roman" w:cs="Times New Roman"/>
          <w:i/>
          <w:iCs/>
          <w:color w:val="000000" w:themeColor="text1"/>
          <w:sz w:val="26"/>
          <w:szCs w:val="26"/>
        </w:rPr>
        <w:t>BMJ Open</w:t>
      </w:r>
      <w:r w:rsidRPr="00BE3DBC">
        <w:rPr>
          <w:rFonts w:ascii="Times New Roman" w:eastAsia="Calibri" w:hAnsi="Times New Roman" w:cs="Times New Roman"/>
          <w:color w:val="000000" w:themeColor="text1"/>
          <w:sz w:val="26"/>
          <w:szCs w:val="26"/>
        </w:rPr>
        <w:t xml:space="preserve">, </w:t>
      </w:r>
      <w:r w:rsidRPr="00BE3DBC">
        <w:rPr>
          <w:rFonts w:ascii="Times New Roman" w:eastAsia="Calibri" w:hAnsi="Times New Roman" w:cs="Times New Roman"/>
          <w:i/>
          <w:iCs/>
          <w:color w:val="000000" w:themeColor="text1"/>
          <w:sz w:val="26"/>
          <w:szCs w:val="26"/>
        </w:rPr>
        <w:t>10</w:t>
      </w:r>
      <w:r w:rsidRPr="00BE3DBC">
        <w:rPr>
          <w:rFonts w:ascii="Times New Roman" w:eastAsia="Calibri" w:hAnsi="Times New Roman" w:cs="Times New Roman"/>
          <w:color w:val="000000" w:themeColor="text1"/>
          <w:sz w:val="26"/>
          <w:szCs w:val="26"/>
        </w:rPr>
        <w:t xml:space="preserve">(6), (e-journal). Available at </w:t>
      </w:r>
      <w:hyperlink r:id="rId22" w:history="1">
        <w:r w:rsidRPr="00BE3DBC">
          <w:rPr>
            <w:rStyle w:val="Hyperlink"/>
            <w:rFonts w:ascii="Times New Roman" w:eastAsia="Calibri" w:hAnsi="Times New Roman" w:cs="Times New Roman"/>
            <w:color w:val="000000" w:themeColor="text1"/>
            <w:sz w:val="26"/>
            <w:szCs w:val="26"/>
            <w:u w:val="none"/>
          </w:rPr>
          <w:t>https://doi.org/10.1136/bmjopen-2020-039674</w:t>
        </w:r>
      </w:hyperlink>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Winfree, G., &amp; Zietsman, J. (2020).</w:t>
      </w:r>
      <w:r w:rsidRPr="00BE3DBC">
        <w:rPr>
          <w:rFonts w:ascii="Times New Roman" w:eastAsia="Calibri" w:hAnsi="Times New Roman" w:cs="Times New Roman"/>
          <w:i/>
          <w:iCs/>
          <w:color w:val="000000" w:themeColor="text1"/>
          <w:sz w:val="26"/>
          <w:szCs w:val="26"/>
        </w:rPr>
        <w:t>Covid-19 and the future of transportation</w:t>
      </w:r>
      <w:r w:rsidRPr="00BE3DBC">
        <w:rPr>
          <w:rFonts w:ascii="Times New Roman" w:eastAsia="Calibri" w:hAnsi="Times New Roman" w:cs="Times New Roman"/>
          <w:color w:val="000000" w:themeColor="text1"/>
          <w:sz w:val="26"/>
          <w:szCs w:val="26"/>
        </w:rPr>
        <w:t>. Retrieved from https://www.carteeh.org&gt;im...</w:t>
      </w:r>
    </w:p>
    <w:p w:rsidR="00D812AC" w:rsidRPr="00BE3DBC" w:rsidRDefault="00D812AC" w:rsidP="007137CC">
      <w:pPr>
        <w:tabs>
          <w:tab w:val="left" w:pos="720"/>
        </w:tabs>
        <w:autoSpaceDE w:val="0"/>
        <w:autoSpaceDN w:val="0"/>
        <w:adjustRightInd w:val="0"/>
        <w:spacing w:after="0" w:line="240" w:lineRule="auto"/>
        <w:ind w:hanging="720"/>
        <w:contextualSpacing/>
        <w:jc w:val="both"/>
        <w:rPr>
          <w:rFonts w:ascii="Times New Roman" w:eastAsia="Calibri" w:hAnsi="Times New Roman" w:cs="Times New Roman"/>
          <w:color w:val="000000" w:themeColor="text1"/>
          <w:sz w:val="26"/>
          <w:szCs w:val="26"/>
        </w:rPr>
      </w:pPr>
      <w:r w:rsidRPr="00BE3DBC">
        <w:rPr>
          <w:rFonts w:ascii="Times New Roman" w:eastAsia="Calibri" w:hAnsi="Times New Roman" w:cs="Times New Roman"/>
          <w:color w:val="000000" w:themeColor="text1"/>
          <w:sz w:val="26"/>
          <w:szCs w:val="26"/>
        </w:rPr>
        <w:t xml:space="preserve">World Health Organisation (WHO).(2020). </w:t>
      </w:r>
      <w:r w:rsidRPr="00BE3DBC">
        <w:rPr>
          <w:rFonts w:ascii="Times New Roman" w:eastAsia="Calibri" w:hAnsi="Times New Roman" w:cs="Times New Roman"/>
          <w:i/>
          <w:iCs/>
          <w:color w:val="000000" w:themeColor="text1"/>
          <w:sz w:val="26"/>
          <w:szCs w:val="26"/>
        </w:rPr>
        <w:t>Q &amp; A on coronaviruses (covid-19)</w:t>
      </w:r>
      <w:r w:rsidRPr="00BE3DBC">
        <w:rPr>
          <w:rFonts w:ascii="Times New Roman" w:eastAsia="Calibri" w:hAnsi="Times New Roman" w:cs="Times New Roman"/>
          <w:color w:val="000000" w:themeColor="text1"/>
          <w:sz w:val="26"/>
          <w:szCs w:val="26"/>
        </w:rPr>
        <w:t xml:space="preserve">. Available at </w:t>
      </w:r>
      <w:hyperlink r:id="rId23" w:history="1">
        <w:r w:rsidRPr="00BE3DBC">
          <w:rPr>
            <w:rStyle w:val="Hyperlink"/>
            <w:rFonts w:ascii="Times New Roman" w:eastAsia="Calibri" w:hAnsi="Times New Roman" w:cs="Times New Roman"/>
            <w:color w:val="000000" w:themeColor="text1"/>
            <w:sz w:val="26"/>
            <w:szCs w:val="26"/>
            <w:u w:val="none"/>
          </w:rPr>
          <w:t>https://www.who.int/newsroom/q-a-detail/q-a-coronaviruses</w:t>
        </w:r>
      </w:hyperlink>
    </w:p>
    <w:p w:rsidR="00D812AC" w:rsidRPr="00210BD3" w:rsidRDefault="00D812AC" w:rsidP="007137CC">
      <w:pPr>
        <w:autoSpaceDE w:val="0"/>
        <w:autoSpaceDN w:val="0"/>
        <w:adjustRightInd w:val="0"/>
        <w:spacing w:after="0" w:line="240" w:lineRule="auto"/>
        <w:ind w:hanging="426"/>
        <w:jc w:val="both"/>
        <w:rPr>
          <w:rFonts w:ascii="Times New Roman" w:eastAsia="Calibri" w:hAnsi="Times New Roman" w:cs="Times New Roman"/>
          <w:sz w:val="26"/>
          <w:szCs w:val="26"/>
        </w:rPr>
      </w:pPr>
    </w:p>
    <w:p w:rsidR="00D812AC" w:rsidRPr="00210BD3" w:rsidRDefault="00D812AC" w:rsidP="007137CC">
      <w:pPr>
        <w:spacing w:line="240" w:lineRule="auto"/>
        <w:ind w:hanging="426"/>
        <w:rPr>
          <w:rFonts w:ascii="Times New Roman" w:hAnsi="Times New Roman" w:cs="Times New Roman"/>
          <w:sz w:val="26"/>
          <w:szCs w:val="26"/>
        </w:rPr>
      </w:pPr>
    </w:p>
    <w:p w:rsidR="00D812AC" w:rsidRPr="00210BD3" w:rsidRDefault="00D812AC" w:rsidP="007137CC">
      <w:pPr>
        <w:spacing w:line="240" w:lineRule="auto"/>
        <w:rPr>
          <w:rFonts w:ascii="Times New Roman" w:hAnsi="Times New Roman" w:cs="Times New Roman"/>
          <w:sz w:val="26"/>
          <w:szCs w:val="26"/>
        </w:rPr>
      </w:pPr>
    </w:p>
    <w:p w:rsidR="00A8751B" w:rsidRPr="00210BD3" w:rsidRDefault="00A8751B" w:rsidP="007137CC">
      <w:pPr>
        <w:spacing w:line="240" w:lineRule="auto"/>
        <w:rPr>
          <w:rFonts w:ascii="Times New Roman" w:hAnsi="Times New Roman" w:cs="Times New Roman"/>
          <w:sz w:val="26"/>
          <w:szCs w:val="26"/>
        </w:rPr>
      </w:pPr>
    </w:p>
    <w:p w:rsidR="00A8751B" w:rsidRPr="00210BD3" w:rsidRDefault="00A8751B" w:rsidP="007137CC">
      <w:pPr>
        <w:spacing w:line="240" w:lineRule="auto"/>
        <w:rPr>
          <w:rFonts w:ascii="Times New Roman" w:hAnsi="Times New Roman" w:cs="Times New Roman"/>
          <w:sz w:val="26"/>
          <w:szCs w:val="26"/>
        </w:rPr>
      </w:pPr>
    </w:p>
    <w:p w:rsidR="00331FCE" w:rsidRDefault="00331FCE" w:rsidP="007137CC">
      <w:pPr>
        <w:rPr>
          <w:rFonts w:ascii="Times New Roman" w:hAnsi="Times New Roman" w:cs="Times New Roman"/>
          <w:sz w:val="26"/>
          <w:szCs w:val="26"/>
        </w:rPr>
      </w:pPr>
      <w:r>
        <w:rPr>
          <w:rFonts w:ascii="Times New Roman" w:hAnsi="Times New Roman" w:cs="Times New Roman"/>
          <w:sz w:val="26"/>
          <w:szCs w:val="26"/>
        </w:rPr>
        <w:br w:type="page"/>
      </w:r>
    </w:p>
    <w:p w:rsidR="00B61A03" w:rsidRPr="00210BD3" w:rsidRDefault="00B61A03" w:rsidP="007137CC">
      <w:pPr>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lastRenderedPageBreak/>
        <w:t>RELIGIO-CULTURAL, SOCIAL AND ECONOMIC UPSHOTS OF CORONA VIRUS DISEASE LOCKDOWN AND TOURISM POTENTIAL</w:t>
      </w:r>
      <w:r w:rsidR="003B48AE" w:rsidRPr="00210BD3">
        <w:rPr>
          <w:rFonts w:ascii="Times New Roman" w:hAnsi="Times New Roman" w:cs="Times New Roman"/>
          <w:b/>
          <w:sz w:val="26"/>
          <w:szCs w:val="26"/>
        </w:rPr>
        <w:t>S IN CROSS RIVER STATE, NIGERIA</w:t>
      </w:r>
    </w:p>
    <w:p w:rsidR="001C2DC9" w:rsidRPr="00210BD3" w:rsidRDefault="001C2DC9" w:rsidP="007137CC">
      <w:pPr>
        <w:spacing w:after="0" w:line="240" w:lineRule="auto"/>
        <w:jc w:val="center"/>
        <w:rPr>
          <w:rFonts w:ascii="Times New Roman" w:hAnsi="Times New Roman" w:cs="Times New Roman"/>
          <w:b/>
          <w:sz w:val="26"/>
          <w:szCs w:val="26"/>
        </w:rPr>
      </w:pPr>
    </w:p>
    <w:p w:rsidR="00841F34" w:rsidRPr="00210BD3" w:rsidRDefault="00841F34" w:rsidP="007137CC">
      <w:pPr>
        <w:spacing w:after="0" w:line="240" w:lineRule="auto"/>
        <w:contextualSpacing/>
        <w:jc w:val="center"/>
        <w:rPr>
          <w:rFonts w:ascii="Times New Roman" w:hAnsi="Times New Roman" w:cs="Times New Roman"/>
          <w:b/>
          <w:sz w:val="26"/>
          <w:szCs w:val="26"/>
        </w:rPr>
      </w:pPr>
      <w:r w:rsidRPr="00210BD3">
        <w:rPr>
          <w:rFonts w:ascii="Times New Roman" w:hAnsi="Times New Roman" w:cs="Times New Roman"/>
          <w:b/>
          <w:sz w:val="26"/>
          <w:szCs w:val="26"/>
        </w:rPr>
        <w:t>Etim Nkanu Efut</w:t>
      </w:r>
    </w:p>
    <w:p w:rsidR="00484D25"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 xml:space="preserve">Department of Environmental Education, </w:t>
      </w:r>
    </w:p>
    <w:p w:rsidR="00B61A03" w:rsidRPr="00210BD3"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Faculty of Arts and Social Science E</w:t>
      </w:r>
      <w:r w:rsidR="00841F34" w:rsidRPr="00210BD3">
        <w:rPr>
          <w:rFonts w:ascii="Times New Roman" w:hAnsi="Times New Roman" w:cs="Times New Roman"/>
          <w:sz w:val="26"/>
          <w:szCs w:val="26"/>
        </w:rPr>
        <w:t>ducation, University of Calabar</w:t>
      </w:r>
    </w:p>
    <w:p w:rsidR="00B61A03" w:rsidRPr="00210BD3" w:rsidRDefault="00B61A03" w:rsidP="007137CC">
      <w:pPr>
        <w:spacing w:after="0" w:line="240" w:lineRule="auto"/>
        <w:contextualSpacing/>
        <w:jc w:val="center"/>
        <w:rPr>
          <w:rFonts w:ascii="Times New Roman" w:hAnsi="Times New Roman" w:cs="Times New Roman"/>
          <w:sz w:val="26"/>
          <w:szCs w:val="26"/>
        </w:rPr>
      </w:pPr>
    </w:p>
    <w:p w:rsidR="00841F34" w:rsidRPr="00210BD3" w:rsidRDefault="00841F34" w:rsidP="007137CC">
      <w:pPr>
        <w:spacing w:after="0" w:line="240" w:lineRule="auto"/>
        <w:contextualSpacing/>
        <w:jc w:val="center"/>
        <w:rPr>
          <w:rFonts w:ascii="Times New Roman" w:hAnsi="Times New Roman" w:cs="Times New Roman"/>
          <w:b/>
          <w:sz w:val="26"/>
          <w:szCs w:val="26"/>
        </w:rPr>
      </w:pPr>
      <w:r w:rsidRPr="00210BD3">
        <w:rPr>
          <w:rFonts w:ascii="Times New Roman" w:hAnsi="Times New Roman" w:cs="Times New Roman"/>
          <w:b/>
          <w:sz w:val="26"/>
          <w:szCs w:val="26"/>
        </w:rPr>
        <w:t>Edung Etim Asuquo</w:t>
      </w:r>
    </w:p>
    <w:p w:rsidR="00484D25"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 xml:space="preserve">Department of Environmental Education, </w:t>
      </w:r>
    </w:p>
    <w:p w:rsidR="00B61A03" w:rsidRPr="00210BD3"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Faculty of Arts and Social Science E</w:t>
      </w:r>
      <w:r w:rsidR="00085934" w:rsidRPr="00210BD3">
        <w:rPr>
          <w:rFonts w:ascii="Times New Roman" w:hAnsi="Times New Roman" w:cs="Times New Roman"/>
          <w:sz w:val="26"/>
          <w:szCs w:val="26"/>
        </w:rPr>
        <w:t>ducation, University of Calabar</w:t>
      </w:r>
    </w:p>
    <w:p w:rsidR="00B61A03" w:rsidRPr="00210BD3" w:rsidRDefault="00B61A03" w:rsidP="007137CC">
      <w:pPr>
        <w:spacing w:after="0" w:line="240" w:lineRule="auto"/>
        <w:contextualSpacing/>
        <w:jc w:val="center"/>
        <w:rPr>
          <w:rFonts w:ascii="Times New Roman" w:hAnsi="Times New Roman" w:cs="Times New Roman"/>
          <w:sz w:val="26"/>
          <w:szCs w:val="26"/>
        </w:rPr>
      </w:pPr>
    </w:p>
    <w:p w:rsidR="00085934" w:rsidRPr="00210BD3" w:rsidRDefault="00085934" w:rsidP="007137CC">
      <w:pPr>
        <w:spacing w:after="0" w:line="240" w:lineRule="auto"/>
        <w:contextualSpacing/>
        <w:jc w:val="center"/>
        <w:rPr>
          <w:rFonts w:ascii="Times New Roman" w:hAnsi="Times New Roman" w:cs="Times New Roman"/>
          <w:b/>
          <w:sz w:val="26"/>
          <w:szCs w:val="26"/>
        </w:rPr>
      </w:pPr>
      <w:r w:rsidRPr="00210BD3">
        <w:rPr>
          <w:rFonts w:ascii="Times New Roman" w:hAnsi="Times New Roman" w:cs="Times New Roman"/>
          <w:b/>
          <w:sz w:val="26"/>
          <w:szCs w:val="26"/>
        </w:rPr>
        <w:t>Alice Etim Echu</w:t>
      </w:r>
    </w:p>
    <w:p w:rsidR="00484D25"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 xml:space="preserve">Department of Library and Information Science, </w:t>
      </w:r>
    </w:p>
    <w:p w:rsidR="00B61A03" w:rsidRPr="00210BD3" w:rsidRDefault="00B61A03" w:rsidP="007137CC">
      <w:pPr>
        <w:spacing w:after="0" w:line="240" w:lineRule="auto"/>
        <w:contextualSpacing/>
        <w:jc w:val="center"/>
        <w:rPr>
          <w:rFonts w:ascii="Times New Roman" w:hAnsi="Times New Roman" w:cs="Times New Roman"/>
          <w:sz w:val="26"/>
          <w:szCs w:val="26"/>
        </w:rPr>
      </w:pPr>
      <w:r w:rsidRPr="00210BD3">
        <w:rPr>
          <w:rFonts w:ascii="Times New Roman" w:hAnsi="Times New Roman" w:cs="Times New Roman"/>
          <w:sz w:val="26"/>
          <w:szCs w:val="26"/>
        </w:rPr>
        <w:t>Faculty of Arts and Social Science E</w:t>
      </w:r>
      <w:r w:rsidR="00085934" w:rsidRPr="00210BD3">
        <w:rPr>
          <w:rFonts w:ascii="Times New Roman" w:hAnsi="Times New Roman" w:cs="Times New Roman"/>
          <w:sz w:val="26"/>
          <w:szCs w:val="26"/>
        </w:rPr>
        <w:t>ducation, University of Calabar</w:t>
      </w:r>
    </w:p>
    <w:p w:rsidR="00B61A03" w:rsidRPr="00210BD3" w:rsidRDefault="00B61A03" w:rsidP="007137CC">
      <w:pPr>
        <w:spacing w:after="0" w:line="240" w:lineRule="auto"/>
        <w:contextualSpacing/>
        <w:rPr>
          <w:rFonts w:ascii="Times New Roman" w:hAnsi="Times New Roman" w:cs="Times New Roman"/>
          <w:sz w:val="26"/>
          <w:szCs w:val="26"/>
        </w:rPr>
      </w:pPr>
    </w:p>
    <w:p w:rsidR="00331FCE" w:rsidRDefault="00331FCE" w:rsidP="007137CC">
      <w:pPr>
        <w:spacing w:line="240" w:lineRule="auto"/>
        <w:rPr>
          <w:rFonts w:ascii="Times New Roman" w:hAnsi="Times New Roman" w:cs="Times New Roman"/>
          <w:b/>
          <w:sz w:val="26"/>
          <w:szCs w:val="26"/>
        </w:rPr>
        <w:sectPr w:rsidR="00331FCE" w:rsidSect="00210BD3">
          <w:type w:val="continuous"/>
          <w:pgSz w:w="12240" w:h="15840" w:code="1"/>
          <w:pgMar w:top="1440" w:right="1440" w:bottom="1440" w:left="1440" w:header="706" w:footer="706" w:gutter="0"/>
          <w:cols w:space="708"/>
          <w:docGrid w:linePitch="360"/>
        </w:sectPr>
      </w:pPr>
    </w:p>
    <w:p w:rsidR="00B61A03" w:rsidRPr="00210BD3" w:rsidRDefault="00B61A03" w:rsidP="007137CC">
      <w:pPr>
        <w:spacing w:after="0" w:line="240" w:lineRule="auto"/>
        <w:rPr>
          <w:rFonts w:ascii="Times New Roman" w:hAnsi="Times New Roman" w:cs="Times New Roman"/>
          <w:b/>
          <w:sz w:val="26"/>
          <w:szCs w:val="26"/>
        </w:rPr>
      </w:pPr>
      <w:r w:rsidRPr="00210BD3">
        <w:rPr>
          <w:rFonts w:ascii="Times New Roman" w:hAnsi="Times New Roman" w:cs="Times New Roman"/>
          <w:b/>
          <w:sz w:val="26"/>
          <w:szCs w:val="26"/>
        </w:rPr>
        <w:lastRenderedPageBreak/>
        <w:t>Introduction</w:t>
      </w:r>
    </w:p>
    <w:p w:rsidR="00B61A03" w:rsidRPr="00210BD3" w:rsidRDefault="00B61A03" w:rsidP="007137CC">
      <w:pPr>
        <w:spacing w:after="0"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Tourism is a socio-cultural, educational and economic phenomenon which entails the movement of people to places or countries outside their usual environment for personal, educational or business purposes. </w:t>
      </w:r>
      <w:r w:rsidRPr="00210BD3">
        <w:rPr>
          <w:rFonts w:ascii="Times New Roman" w:hAnsi="Times New Roman" w:cs="Times New Roman"/>
          <w:color w:val="000000"/>
          <w:sz w:val="26"/>
          <w:szCs w:val="26"/>
        </w:rPr>
        <w:t xml:space="preserve">The rise in contribution to global gross domestic product (GDP) from tourism according to the World Travel and Tourism Council (2010) was projected to be from 9.2% (US $5,751 billion) in 2010 to 9.6% (US $11,151 billion) by 2020 </w:t>
      </w:r>
      <w:r w:rsidRPr="00210BD3">
        <w:rPr>
          <w:rFonts w:ascii="Times New Roman" w:hAnsi="Times New Roman" w:cs="Times New Roman"/>
          <w:color w:val="000000" w:themeColor="text1"/>
          <w:sz w:val="26"/>
          <w:szCs w:val="26"/>
        </w:rPr>
        <w:t xml:space="preserve">(World Travel and Tourism Council, 2010). </w:t>
      </w:r>
      <w:r w:rsidRPr="00210BD3">
        <w:rPr>
          <w:rFonts w:ascii="Times New Roman" w:hAnsi="Times New Roman" w:cs="Times New Roman"/>
          <w:color w:val="000000"/>
          <w:sz w:val="26"/>
          <w:szCs w:val="26"/>
        </w:rPr>
        <w:t xml:space="preserve">Tourism contribution to employment was also expected to rise from 8.1%, or 235,758,000 jobs across the world in 2010 to 9.2%, or 303,019,000 jobs by 2020. By 2023, the industry´s total economic contribution is forecast to rise to US$ 10.5 trillion in GDP (2012 prices), almost 340 million in jobs, over US$ 1.3 trillion in investment (2012 </w:t>
      </w:r>
      <w:r w:rsidRPr="00210BD3">
        <w:rPr>
          <w:rFonts w:ascii="Times New Roman" w:hAnsi="Times New Roman" w:cs="Times New Roman"/>
          <w:sz w:val="26"/>
          <w:szCs w:val="26"/>
        </w:rPr>
        <w:t xml:space="preserve">prices) and almost US$ 2.0 trillion in exports (2012 prices). The statistics indicated that Nigeria will gain a rise in employment of 897,500, which will </w:t>
      </w:r>
      <w:r w:rsidRPr="00210BD3">
        <w:rPr>
          <w:rFonts w:ascii="Times New Roman" w:hAnsi="Times New Roman" w:cs="Times New Roman"/>
          <w:sz w:val="26"/>
          <w:szCs w:val="26"/>
        </w:rPr>
        <w:lastRenderedPageBreak/>
        <w:t xml:space="preserve">translate to </w:t>
      </w:r>
      <w:r w:rsidRPr="00210BD3">
        <w:rPr>
          <w:rFonts w:ascii="Times New Roman" w:hAnsi="Times New Roman" w:cs="Times New Roman"/>
          <w:dstrike/>
          <w:sz w:val="26"/>
          <w:szCs w:val="26"/>
        </w:rPr>
        <w:t>N</w:t>
      </w:r>
      <w:r w:rsidRPr="00210BD3">
        <w:rPr>
          <w:rFonts w:ascii="Times New Roman" w:hAnsi="Times New Roman" w:cs="Times New Roman"/>
          <w:sz w:val="26"/>
          <w:szCs w:val="26"/>
        </w:rPr>
        <w:t>252 billion in investment equivalent to 1.6 per cent increments and 1.4 per cent annually with the aim of hitting 5.4 per cent in 2022.</w:t>
      </w:r>
    </w:p>
    <w:p w:rsidR="00B61A03" w:rsidRPr="00210BD3" w:rsidRDefault="00B61A03" w:rsidP="007137CC">
      <w:pPr>
        <w:spacing w:after="0"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2019, the tourism sector accounted for 30 per cent of the world’s services exports, about 300 million jobs globally, was responsible for creating 1 in 4 of all new jobs globally, was the largest contributor to employment globally, and was estimated to contribute about 10% of global GDP (Teshome, Dereje &amp; Asfaw, 2022). Acknowledging the fact that it is a vital basis for income, and economic development, many developing and developed countries today rely on tourism as an option for sustainable development of their nations </w:t>
      </w:r>
      <w:r w:rsidRPr="00210BD3">
        <w:rPr>
          <w:rFonts w:ascii="Times New Roman" w:hAnsi="Times New Roman" w:cs="Times New Roman"/>
          <w:color w:val="000000"/>
          <w:sz w:val="26"/>
          <w:szCs w:val="26"/>
        </w:rPr>
        <w:t>(Clement, 2020)</w:t>
      </w:r>
      <w:r w:rsidRPr="00210BD3">
        <w:rPr>
          <w:rFonts w:ascii="Times New Roman" w:hAnsi="Times New Roman" w:cs="Times New Roman"/>
          <w:sz w:val="26"/>
          <w:szCs w:val="26"/>
        </w:rPr>
        <w:t xml:space="preserve">. </w:t>
      </w:r>
    </w:p>
    <w:p w:rsidR="00B61A03" w:rsidRPr="00210BD3" w:rsidRDefault="00B61A03" w:rsidP="007137CC">
      <w:pPr>
        <w:spacing w:after="0"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Cross River State, tourism has been the major revenue generating sector since year 2000 till January, 2022. This was made so by the existing state government’s drive at the turn of the Millennium to harness revenue from the tourism sector with enabling policies and agencies to oversee the implementation </w:t>
      </w:r>
      <w:r w:rsidRPr="00210BD3">
        <w:rPr>
          <w:rFonts w:ascii="Times New Roman" w:hAnsi="Times New Roman" w:cs="Times New Roman"/>
          <w:sz w:val="26"/>
          <w:szCs w:val="26"/>
        </w:rPr>
        <w:lastRenderedPageBreak/>
        <w:t xml:space="preserve">of the policies. The drive for the sector to generate revenue was due to the tourism potentials of the state which is still being slowly developed and harnessed. Despite the promising strides which were being made to harness the revenue, an epoch making event towards the end of 2019 changed the dynamics of human endeavour in a manner never seen or imagined before. Tourism used to be the leading and lucrative industry in the world that serves as a source of income generation to world economies especially Cross River State. The story is quite different now because of the pandemic brought by Corona virus disease (covid-19). </w:t>
      </w:r>
    </w:p>
    <w:p w:rsidR="00B61A03" w:rsidRPr="00210BD3" w:rsidRDefault="00B61A03" w:rsidP="007137CC">
      <w:pPr>
        <w:spacing w:after="0"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All categories of human activities in the world were forcibly shut down and people were made to stay indoors to avoid contacting the virus due to its mode of transmission and lack of vaccines for its cure then. In Cross River State, all human activities were brought to a halt by the state government on 23</w:t>
      </w:r>
      <w:r w:rsidRPr="00210BD3">
        <w:rPr>
          <w:rFonts w:ascii="Times New Roman" w:hAnsi="Times New Roman" w:cs="Times New Roman"/>
          <w:sz w:val="26"/>
          <w:szCs w:val="26"/>
          <w:vertAlign w:val="superscript"/>
        </w:rPr>
        <w:t>rd</w:t>
      </w:r>
      <w:r w:rsidRPr="00210BD3">
        <w:rPr>
          <w:rFonts w:ascii="Times New Roman" w:hAnsi="Times New Roman" w:cs="Times New Roman"/>
          <w:sz w:val="26"/>
          <w:szCs w:val="26"/>
        </w:rPr>
        <w:t xml:space="preserve"> March, 2020. The halt included strictly enforced inter-state border closures; intra-state movement quarantines; strict prohibition of organizing social activities including church services; enforced shutting down all manner of hospitality services and businesses, enforcement of transportation movements except for essential goods and services such as medicines, water, and food; social distancing (including compulsory wearing of face-mask in case of need for close contact with someone), and; need to wash hands and/or use a hand sanitizer upon entering a new place. The shutting down of all categories of hospitality businesses and services thus put a lot of persons out of daily activities which </w:t>
      </w:r>
      <w:r w:rsidRPr="00210BD3">
        <w:rPr>
          <w:rFonts w:ascii="Times New Roman" w:hAnsi="Times New Roman" w:cs="Times New Roman"/>
          <w:sz w:val="26"/>
          <w:szCs w:val="26"/>
        </w:rPr>
        <w:lastRenderedPageBreak/>
        <w:t>generated income for them, forcing them to be economically helpless. The restriction on social gatherings also put an enormous strain on persons whose services bordered on social-related events and activities for revenue generation.</w:t>
      </w:r>
    </w:p>
    <w:p w:rsidR="00B61A03" w:rsidRPr="00210BD3" w:rsidRDefault="00B61A0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The “seeming new normal” even though it was eased down did not stop people from being skeptical of close contact and large social gatherings due to fear of contacting the virus. Also, the stigmatization which seemingly followed being labelled as one who has been infected made so many people more disillusioned to go against the restrictions. The uncertainty had ensured that all manner of social and tourism-related activities which usually kept most of the city busy, colourful and attractive annually from July each year were indefinitely suspended. The seeming new normal was even exacerbated toward the end of the year 2020 (on 10</w:t>
      </w:r>
      <w:r w:rsidRPr="00210BD3">
        <w:rPr>
          <w:rFonts w:ascii="Times New Roman" w:hAnsi="Times New Roman" w:cs="Times New Roman"/>
          <w:sz w:val="26"/>
          <w:szCs w:val="26"/>
          <w:vertAlign w:val="superscript"/>
        </w:rPr>
        <w:t>th</w:t>
      </w:r>
      <w:r w:rsidRPr="00210BD3">
        <w:rPr>
          <w:rFonts w:ascii="Times New Roman" w:hAnsi="Times New Roman" w:cs="Times New Roman"/>
          <w:sz w:val="26"/>
          <w:szCs w:val="26"/>
        </w:rPr>
        <w:t xml:space="preserve"> December) when it was announced by the then Minister of Health that within the country the virus had entered its second wave of infecting people. By then, the state which was one of the last to reveal a confirmed case within the country had about 2 or 3 cases. Thus, the enormous influx of tourists, visitors and participants in the annual Calabar Carnival were missing and even domestic tourism was brought to its feet as the pandemic’s scourge ravaged on into year 2021. </w:t>
      </w:r>
    </w:p>
    <w:p w:rsidR="00B61A03" w:rsidRPr="00210BD3" w:rsidRDefault="00B61A03" w:rsidP="007137CC">
      <w:pPr>
        <w:spacing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Tourism potential refers to the extent of availability of resources concerned with the natural recreation, socio-cultural, investment/financial, and infrastructure dimensions of tourism potential. The concept of tourism </w:t>
      </w:r>
      <w:r w:rsidRPr="00210BD3">
        <w:rPr>
          <w:rFonts w:ascii="Times New Roman" w:hAnsi="Times New Roman" w:cs="Times New Roman"/>
          <w:sz w:val="26"/>
          <w:szCs w:val="26"/>
        </w:rPr>
        <w:lastRenderedPageBreak/>
        <w:t xml:space="preserve">potential according to Gamidullaeva, Vasin, Tolstykh and Zinchenko (2022) is a set of opportunities for utilizing the tourism resources of a given territory to form unique demanded tourism products which are attractive for tourists. According to them, being that the development of tourism in any given certain area is accompanied by the on-going process of developing and forming an assortment of competitive tourism products, it is best when viewing the tourism potential of a given territory from a systems perspective. From a system perspective, the tourism potential of a territory is viewed as a synergy of the resources concerned with the natural recreation, socio-cultural, investment and financial, infrastructure, and entrepreneurial dimensions within the given territory (Gamidullaeva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2022).</w:t>
      </w:r>
    </w:p>
    <w:p w:rsidR="00B61A03" w:rsidRPr="00210BD3" w:rsidRDefault="00B61A03"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Religio-cultural and social implications of corvid-19 and tourism potentials</w:t>
      </w:r>
    </w:p>
    <w:p w:rsidR="00B61A03" w:rsidRPr="00210BD3" w:rsidRDefault="00B61A0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The religio-cultural and social impacts of covid-19 centered on proliferation of religious, cultural and social activities and influx of tourists, tourists’ behaviour (both domestic and foreign), psychological stress of retrenchment and layoffs, social exclusion and inequality (Kiran, 2020; Soliku, Kyiire, Mahama &amp; Kubio, 2021; Korinth, 2022). According to Soliku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xml:space="preserve">., (2021), there was a sharp and considerable decline in social activities in National Parks and “tourism-communities”. Tourism-communities according to Cutter, Ash and Emrich (2016) refer to rural communities which play host and endless influx of tourists </w:t>
      </w:r>
      <w:r w:rsidRPr="00210BD3">
        <w:rPr>
          <w:rFonts w:ascii="Times New Roman" w:hAnsi="Times New Roman" w:cs="Times New Roman"/>
          <w:sz w:val="26"/>
          <w:szCs w:val="26"/>
        </w:rPr>
        <w:lastRenderedPageBreak/>
        <w:t xml:space="preserve">due to the natural and man-made attraction sites situated within them. The hospitality industry which hitherto hosted guests for accommodation, meetings, workshops and conferences were virtually empty throughout the two phases of the pandemic in Cross River State. </w:t>
      </w:r>
    </w:p>
    <w:p w:rsidR="00B61A03" w:rsidRPr="00210BD3" w:rsidRDefault="00B61A03" w:rsidP="007137CC">
      <w:pPr>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sz w:val="26"/>
          <w:szCs w:val="26"/>
        </w:rPr>
        <w:t>There was a very drastic decline in social activities such as large-scale marriages and naming ceremonies, community festivals and prayers, and religious services of all kinds. An alarming decline in tourist numbers most especially international tourists was variously reported across tourism destinations (Nairametrics, 2020; Qiu, Park, Li &amp; Song, 2020; Gössling, Scott &amp; Hall, 2021). According to Nwabuishi and Awritefe (2022), due to the covid-19 pandemic, Nigeria had 4.7 million fewer travelers in 2020 and this resulted to a US$0.99 billion revenue loss, with a risk to 125,400 jobs and US$0.89 billion in contribution to the country’s economy.</w:t>
      </w:r>
    </w:p>
    <w:p w:rsidR="00B61A03" w:rsidRPr="00210BD3" w:rsidRDefault="00B61A03"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color w:val="000000"/>
          <w:sz w:val="26"/>
          <w:szCs w:val="26"/>
        </w:rPr>
        <w:t>Another social impact during the pandemic was tourists’ behavior. Starting with foreign tourists, due to closure of borders, it led to many of them having a change towards tourist destinations. The change in tourist destinations made many tourists to become “domestic tourists” (Korinth, 2022), thus the proliferation of domestic tourism over foreign tourism during the pandemic. The change in tourism destination was also borne out of fear of contacting the virus and the consequences associated with it (</w:t>
      </w:r>
      <w:r w:rsidRPr="00210BD3">
        <w:rPr>
          <w:rFonts w:ascii="Times New Roman" w:hAnsi="Times New Roman" w:cs="Times New Roman"/>
          <w:sz w:val="26"/>
          <w:szCs w:val="26"/>
        </w:rPr>
        <w:t xml:space="preserve">Kusumaningrum &amp; Wachyuni, 2020). Tourists’ behaviour was also very significant towards the necessity of hotel cleanliness/hygiene being that hotel surfaces most probably were prone to </w:t>
      </w:r>
      <w:r w:rsidRPr="00210BD3">
        <w:rPr>
          <w:rFonts w:ascii="Times New Roman" w:hAnsi="Times New Roman" w:cs="Times New Roman"/>
          <w:sz w:val="26"/>
          <w:szCs w:val="26"/>
        </w:rPr>
        <w:lastRenderedPageBreak/>
        <w:t>dirt, higher microbial counts and yield potential sources for transmission of the virus. This was because the virus was found to have the potential of being spread when one touched surfaces contaminated by it (WHO, 2020).</w:t>
      </w:r>
    </w:p>
    <w:p w:rsidR="00B61A03" w:rsidRPr="00210BD3" w:rsidRDefault="00B61A03" w:rsidP="007137C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sz w:val="26"/>
          <w:szCs w:val="26"/>
        </w:rPr>
        <w:t xml:space="preserve">In addition, tourists were particularly concerned about face-to-face contact with people as a result of aerosol transmission via central air conditioning being another route of transmission for the virus (Amaechi-Chijioke &amp; Ibeh, 2021). This led to guests mostly patronizing hotels which put in a lot of effort towards reassuring them of lodging and accommodation services that gave impetus to sanitation and hygiene. In turn, hotels in Cross River State had to make a lot of effort to purchase resources and engage in practices which depicted their drive towards sanitation and hygiene. Hand sanitizers, hand-gloves, face masks, soaps, wash-hand basins, water and regular office/premises’ sanitation and fumigation were always available for guests, and engaged in by operational hospitality business owners during the pandemic (Al-Mughairi, Bhaskar &amp; Alazri, 2021). Awareness of practices such as social distancing, covering one’s mouth and nose when sneezing and wearing a face mask were also insisted upon by both guests and business owners. </w:t>
      </w:r>
    </w:p>
    <w:p w:rsidR="00B61A03" w:rsidRPr="00210BD3" w:rsidRDefault="00B61A03" w:rsidP="007137C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 xml:space="preserve">In an effort to curtail the spread of the virus, governments across the country including Cross River State government banned </w:t>
      </w:r>
      <w:r w:rsidRPr="00210BD3">
        <w:rPr>
          <w:rFonts w:ascii="Times New Roman" w:hAnsi="Times New Roman" w:cs="Times New Roman"/>
          <w:sz w:val="26"/>
          <w:szCs w:val="26"/>
        </w:rPr>
        <w:t xml:space="preserve">mass gathering of people at hotels, tourism sites, religious centres, sport arenas, burials and also, schools were closed. This led to hospitality workers and owners having to face severe disruption of their activities </w:t>
      </w:r>
      <w:r w:rsidRPr="00210BD3">
        <w:rPr>
          <w:rFonts w:ascii="Times New Roman" w:hAnsi="Times New Roman" w:cs="Times New Roman"/>
          <w:sz w:val="26"/>
          <w:szCs w:val="26"/>
        </w:rPr>
        <w:lastRenderedPageBreak/>
        <w:t xml:space="preserve">(Obinna, 2021) and this unplanned disruption of activities and restriction threatened the mental and psychological health of hospitality workers and owners by inflicting serious worries on their health, job security, business sustenance (Alonso </w:t>
      </w:r>
      <w:r w:rsidRPr="00210BD3">
        <w:rPr>
          <w:rFonts w:ascii="Times New Roman" w:hAnsi="Times New Roman" w:cs="Times New Roman"/>
          <w:i/>
          <w:sz w:val="26"/>
          <w:szCs w:val="26"/>
        </w:rPr>
        <w:t>et al.,</w:t>
      </w:r>
      <w:r w:rsidRPr="00210BD3">
        <w:rPr>
          <w:rFonts w:ascii="Times New Roman" w:hAnsi="Times New Roman" w:cs="Times New Roman"/>
          <w:sz w:val="26"/>
          <w:szCs w:val="26"/>
        </w:rPr>
        <w:t xml:space="preserve"> 2020). The health challenges included anxiety, depression, nervousness, loneliness, mental health challenges, etc. Globally, it was found out that up to 90 million hospitality jobs were laid off before the end of the pandemic’s first phase with the greatest decline in staff numbers being those of hotels and restaurants due to 70% of hospitality owners’ reporting serious challenges towards payment of salaries and provision of essential logistics (Jones &amp; Comfort, 2020). The layoffs led to poverty and severe hardship.</w:t>
      </w:r>
    </w:p>
    <w:p w:rsidR="00B61A03" w:rsidRPr="00210BD3" w:rsidRDefault="00B61A03" w:rsidP="007137C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 xml:space="preserve">Furthermore, as a result of its rapid transmission, the pandemic brought about the measure of social distancing and in turn, it bred issues of social isolation and exclusion, and social inequalities (Piate, Inyang &amp; Akpan, 2022). As a result of social distancing, due to some persons’ fear of contacting the virus and the consequences (including social discrimination attached to it), it led to people mostly remaining behind closed doors and avoiding social environments and events such as those associated with tourism/hospitality industry. With the fear of meeting people enshrined in the mind, many persons no longer mingled with others compared to pre-covid-19 period and for some who perceived themselves as having the resources to prevent contacting the virus, those who did not have were to be avoided at any cost (Kiran, 2020). Foreign tourists were no longer welcome </w:t>
      </w:r>
      <w:r w:rsidRPr="00210BD3">
        <w:rPr>
          <w:rFonts w:ascii="Times New Roman" w:hAnsi="Times New Roman" w:cs="Times New Roman"/>
          <w:color w:val="000000"/>
          <w:sz w:val="26"/>
          <w:szCs w:val="26"/>
        </w:rPr>
        <w:lastRenderedPageBreak/>
        <w:t>as borders were closed to the point that even intra-country boundaries were totally shutdown. With this, the tourism/hospitality industry which serves as a melting point for all kinds of people to meet and socialize no longer served its purpose during the pandemic.</w:t>
      </w:r>
    </w:p>
    <w:p w:rsidR="00750353" w:rsidRDefault="00750353" w:rsidP="007137CC">
      <w:pPr>
        <w:spacing w:after="0" w:line="240" w:lineRule="auto"/>
        <w:jc w:val="both"/>
        <w:rPr>
          <w:rFonts w:ascii="Times New Roman" w:hAnsi="Times New Roman" w:cs="Times New Roman"/>
          <w:b/>
          <w:sz w:val="26"/>
          <w:szCs w:val="26"/>
        </w:rPr>
      </w:pPr>
    </w:p>
    <w:p w:rsidR="00B61A03" w:rsidRPr="00210BD3" w:rsidRDefault="00B61A03"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Economic implications and tourism potentials</w:t>
      </w:r>
    </w:p>
    <w:p w:rsidR="00B61A03" w:rsidRPr="00210BD3" w:rsidRDefault="00B61A0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The economic impact of the pandemic refers to each of employees’ conditions of work (specifically as it concerns job security) and the economic activities of tourism-related businesses. This is as a result of the economic impact of the pandemic on tourism being viewed from the dimensions of demand (rate of patronage and occupancy of hotel accommodation), operational cost reduction measures, job cuts/losses and consequent effect on unemployment rate, sustenance of operational activities, etc (Al-Mughairi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2021). Starting with extent of patronage of tourism-related businesses, Nwabuishi and Awritefe (2022) reported that many Nigerian cities suffered from very low levels of customer patronage as it concerned hotels, restaurants, catering services, clubs, event centres, etc during the 1</w:t>
      </w:r>
      <w:r w:rsidRPr="00210BD3">
        <w:rPr>
          <w:rFonts w:ascii="Times New Roman" w:hAnsi="Times New Roman" w:cs="Times New Roman"/>
          <w:sz w:val="26"/>
          <w:szCs w:val="26"/>
          <w:vertAlign w:val="superscript"/>
        </w:rPr>
        <w:t>st</w:t>
      </w:r>
      <w:r w:rsidRPr="00210BD3">
        <w:rPr>
          <w:rFonts w:ascii="Times New Roman" w:hAnsi="Times New Roman" w:cs="Times New Roman"/>
          <w:sz w:val="26"/>
          <w:szCs w:val="26"/>
        </w:rPr>
        <w:t xml:space="preserve"> and 2</w:t>
      </w:r>
      <w:r w:rsidRPr="00210BD3">
        <w:rPr>
          <w:rFonts w:ascii="Times New Roman" w:hAnsi="Times New Roman" w:cs="Times New Roman"/>
          <w:sz w:val="26"/>
          <w:szCs w:val="26"/>
          <w:vertAlign w:val="superscript"/>
        </w:rPr>
        <w:t>nd</w:t>
      </w:r>
      <w:r w:rsidRPr="00210BD3">
        <w:rPr>
          <w:rFonts w:ascii="Times New Roman" w:hAnsi="Times New Roman" w:cs="Times New Roman"/>
          <w:sz w:val="26"/>
          <w:szCs w:val="26"/>
        </w:rPr>
        <w:t xml:space="preserve"> phases of the pandemic. Patronage was already severely impacted upon before the actual lockdown as Olowookere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(2021) revealed that numerous hotels in Cross River State witnessed booking terminations worth millions of naira as almost all “would-be” tourists either suspended or out rightly cancelled whatever travel plans they had earlier made.</w:t>
      </w:r>
    </w:p>
    <w:p w:rsidR="00B61A03" w:rsidRPr="00210BD3" w:rsidRDefault="00B61A03"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Based on the patronage levels, it was revealed that occupancy rate of </w:t>
      </w:r>
      <w:r w:rsidRPr="00210BD3">
        <w:rPr>
          <w:rFonts w:ascii="Times New Roman" w:hAnsi="Times New Roman" w:cs="Times New Roman"/>
          <w:sz w:val="26"/>
          <w:szCs w:val="26"/>
        </w:rPr>
        <w:lastRenderedPageBreak/>
        <w:t xml:space="preserve">hotels in Cross River State was 49.8%, 44.7%, 43.6%, 42.4%, 42.6% and 42.8% in 2014, 2015, 2016, 2017, 2018 and 2019 but fell to less than 5% in 2020 (Nairametrics, 2020). Thus, investment in tourism-related businesses such as recreation centres, restaurants, coffee shop, museums, fitness clubs, shopping malls, swimming pools and religio-cultural centres were severely affected during the pandemic’s phases (Al-Mughairi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xml:space="preserve">., 2021).The low patronage and occupancy rates made numerous businesses not only to cut down their workforce but also, to slash workers’ salaries. These survival measures resulted in huge economic losses and large-scale unemployment (ILO, 2020). The dire state of major hotels listed on the Nigerian stock exchange market forced them to ensure massive job cuts and operational cost reduction measures. At the start of the pandemic, the hotels maintained a 100% salary payment to over 900 employees up to April 2020 but by end of November, 2020, their workforce headcount had reduced by 70% (Nwabuishi &amp; Awritefe, 2022). Communities where tourism-related businesses thrived also suffered seriously from the pandemic’s phases as there were no buyers for their products. The economic impacts of the pandemic on tourism-related businesses was such that many businesses encountered extremely difficult challenges to continue generating operational bills (such as electricity) and workers’ salaries (Nwabuishi &amp; Awritefe, 2022). For many businesses, the effect of the pandemic’s two phases was very impactful thus leading to their closure. The inability to cope even after cutting </w:t>
      </w:r>
      <w:r w:rsidRPr="00210BD3">
        <w:rPr>
          <w:rFonts w:ascii="Times New Roman" w:hAnsi="Times New Roman" w:cs="Times New Roman"/>
          <w:sz w:val="26"/>
          <w:szCs w:val="26"/>
        </w:rPr>
        <w:lastRenderedPageBreak/>
        <w:t xml:space="preserve">many employees loose and slashing the salaries of the few left led to their closure. In addition, being that most of them operate with perishable food goods and products, lack of their usage and inability to generate funds to enhance their storage led to their spoilage and the continuous trend was unbearable (Olowookere, Ala, &amp; Olanrewaju, 2021). Also, most businesses that relied on tourists to thrive such as hotels and restaurants, local tour operators and guides, sellers of tourist souvenirs among others were out of business for most of 2020 (Soliku </w:t>
      </w:r>
      <w:r w:rsidRPr="00210BD3">
        <w:rPr>
          <w:rFonts w:ascii="Times New Roman" w:hAnsi="Times New Roman" w:cs="Times New Roman"/>
          <w:i/>
          <w:iCs/>
          <w:sz w:val="26"/>
          <w:szCs w:val="26"/>
        </w:rPr>
        <w:t>et al</w:t>
      </w:r>
      <w:r w:rsidRPr="00210BD3">
        <w:rPr>
          <w:rFonts w:ascii="Times New Roman" w:hAnsi="Times New Roman" w:cs="Times New Roman"/>
          <w:sz w:val="26"/>
          <w:szCs w:val="26"/>
        </w:rPr>
        <w:t xml:space="preserve">., 2021). For Oruonye </w:t>
      </w:r>
      <w:r w:rsidRPr="00210BD3">
        <w:rPr>
          <w:rFonts w:ascii="Times New Roman" w:hAnsi="Times New Roman" w:cs="Times New Roman"/>
          <w:sz w:val="26"/>
          <w:szCs w:val="26"/>
        </w:rPr>
        <w:lastRenderedPageBreak/>
        <w:t>and Ahmed (2020), the pandemic resulted in mass production shutdowns and supply chain disruptions causing severe ripple effects within the tourism sector in a manner which was never expected.</w:t>
      </w:r>
    </w:p>
    <w:p w:rsidR="00331FCE" w:rsidRDefault="00B61A03" w:rsidP="007137CC">
      <w:pPr>
        <w:spacing w:line="240" w:lineRule="auto"/>
        <w:jc w:val="both"/>
        <w:rPr>
          <w:rFonts w:ascii="Times New Roman" w:hAnsi="Times New Roman" w:cs="Times New Roman"/>
          <w:b/>
          <w:sz w:val="26"/>
          <w:szCs w:val="26"/>
        </w:rPr>
        <w:sectPr w:rsidR="00331FCE" w:rsidSect="00A75037">
          <w:type w:val="continuous"/>
          <w:pgSz w:w="12240" w:h="15840" w:code="1"/>
          <w:pgMar w:top="1440" w:right="1440" w:bottom="1440" w:left="1440" w:header="706" w:footer="706" w:gutter="0"/>
          <w:cols w:num="2" w:space="708"/>
          <w:docGrid w:linePitch="360"/>
        </w:sectPr>
      </w:pPr>
      <w:r w:rsidRPr="00210BD3">
        <w:rPr>
          <w:rFonts w:ascii="Times New Roman" w:hAnsi="Times New Roman" w:cs="Times New Roman"/>
          <w:b/>
          <w:sz w:val="26"/>
          <w:szCs w:val="26"/>
        </w:rPr>
        <w:t xml:space="preserve">Conclusion: </w:t>
      </w:r>
      <w:r w:rsidRPr="00210BD3">
        <w:rPr>
          <w:rFonts w:ascii="Times New Roman" w:hAnsi="Times New Roman" w:cs="Times New Roman"/>
          <w:sz w:val="26"/>
          <w:szCs w:val="26"/>
        </w:rPr>
        <w:t>Arising from the bannedon religious, cultural, social gathering and restrictions in movement, the lockdown experienced as a result of corvid-19 pandemic in Cross River State has negatively affected the religio-cultural, social and economic livelihoods and activities of the people, while</w:t>
      </w:r>
      <w:r w:rsidR="00180B98">
        <w:rPr>
          <w:rFonts w:ascii="Times New Roman" w:hAnsi="Times New Roman" w:cs="Times New Roman"/>
          <w:sz w:val="26"/>
          <w:szCs w:val="26"/>
        </w:rPr>
        <w:t xml:space="preserve"> tourism was completely halted.</w:t>
      </w:r>
    </w:p>
    <w:p w:rsidR="00DF5FAC" w:rsidRDefault="00DF5FAC" w:rsidP="007137CC">
      <w:pPr>
        <w:spacing w:after="0" w:line="240" w:lineRule="auto"/>
        <w:rPr>
          <w:rFonts w:ascii="Times New Roman" w:hAnsi="Times New Roman" w:cs="Times New Roman"/>
          <w:b/>
          <w:sz w:val="26"/>
          <w:szCs w:val="26"/>
        </w:rPr>
      </w:pPr>
    </w:p>
    <w:p w:rsidR="00B61A03" w:rsidRPr="00210BD3" w:rsidRDefault="00B61A03" w:rsidP="007137CC">
      <w:pPr>
        <w:spacing w:after="0" w:line="240" w:lineRule="auto"/>
        <w:rPr>
          <w:rFonts w:ascii="Times New Roman" w:hAnsi="Times New Roman" w:cs="Times New Roman"/>
          <w:b/>
          <w:sz w:val="26"/>
          <w:szCs w:val="26"/>
        </w:rPr>
      </w:pPr>
      <w:r w:rsidRPr="00210BD3">
        <w:rPr>
          <w:rFonts w:ascii="Times New Roman" w:hAnsi="Times New Roman" w:cs="Times New Roman"/>
          <w:b/>
          <w:sz w:val="26"/>
          <w:szCs w:val="26"/>
        </w:rPr>
        <w:t>References</w:t>
      </w:r>
    </w:p>
    <w:p w:rsidR="00B61A03" w:rsidRPr="00210BD3" w:rsidRDefault="00B61A03" w:rsidP="007137CC">
      <w:pPr>
        <w:autoSpaceDE w:val="0"/>
        <w:autoSpaceDN w:val="0"/>
        <w:adjustRightInd w:val="0"/>
        <w:spacing w:after="0" w:line="240" w:lineRule="auto"/>
        <w:ind w:hanging="720"/>
        <w:contextualSpacing/>
        <w:jc w:val="both"/>
        <w:rPr>
          <w:rFonts w:ascii="Times New Roman" w:hAnsi="Times New Roman" w:cs="Times New Roman"/>
          <w:sz w:val="26"/>
          <w:szCs w:val="26"/>
        </w:rPr>
      </w:pP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Al-Mughairi, H. M. S., Bhaskar, P., &amp; Alazri, K. H. A. (2021). The economic and social impact of covid-19 on tourism and hospitality industry: A case study from Oman. </w:t>
      </w:r>
      <w:r w:rsidRPr="00331FCE">
        <w:rPr>
          <w:rFonts w:ascii="Times New Roman" w:hAnsi="Times New Roman" w:cs="Times New Roman"/>
          <w:i/>
          <w:iCs/>
          <w:color w:val="000000" w:themeColor="text1"/>
          <w:sz w:val="26"/>
          <w:szCs w:val="26"/>
        </w:rPr>
        <w:t>Journal of Public Affairs, 2021</w:t>
      </w:r>
      <w:r w:rsidRPr="00331FCE">
        <w:rPr>
          <w:rFonts w:ascii="Times New Roman" w:hAnsi="Times New Roman" w:cs="Times New Roman"/>
          <w:color w:val="000000" w:themeColor="text1"/>
          <w:sz w:val="26"/>
          <w:szCs w:val="26"/>
        </w:rPr>
        <w:t>(e2786), (e-journal).</w:t>
      </w:r>
      <w:hyperlink r:id="rId24" w:history="1">
        <w:r w:rsidRPr="00331FCE">
          <w:rPr>
            <w:rStyle w:val="Hyperlink"/>
            <w:rFonts w:ascii="Times New Roman" w:hAnsi="Times New Roman" w:cs="Times New Roman"/>
            <w:color w:val="000000" w:themeColor="text1"/>
            <w:sz w:val="26"/>
            <w:szCs w:val="26"/>
            <w:u w:val="none"/>
          </w:rPr>
          <w:t>https://doi.org/10.1002/pa.2786</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Alonso, A. D., Kok, S. K., Bressan, A., O’Shea, M., Sakellarios, N., Koresis, A. &amp; Santoni, L. J. (2020). Covid-19, aftermath, impacts, and hospitality firms: An international perspective. </w:t>
      </w:r>
      <w:r w:rsidRPr="00331FCE">
        <w:rPr>
          <w:rFonts w:ascii="Times New Roman" w:hAnsi="Times New Roman" w:cs="Times New Roman"/>
          <w:i/>
          <w:iCs/>
          <w:color w:val="000000" w:themeColor="text1"/>
          <w:sz w:val="26"/>
          <w:szCs w:val="26"/>
        </w:rPr>
        <w:t>International Journal of Hospitality Management, 91</w:t>
      </w:r>
      <w:r w:rsidRPr="00331FCE">
        <w:rPr>
          <w:rFonts w:ascii="Times New Roman" w:hAnsi="Times New Roman" w:cs="Times New Roman"/>
          <w:color w:val="000000" w:themeColor="text1"/>
          <w:sz w:val="26"/>
          <w:szCs w:val="26"/>
        </w:rPr>
        <w:t>(18), (e-journal).</w:t>
      </w:r>
      <w:hyperlink r:id="rId25" w:history="1">
        <w:r w:rsidR="00471CF9" w:rsidRPr="00331FCE">
          <w:rPr>
            <w:rStyle w:val="Hyperlink"/>
            <w:rFonts w:ascii="Times New Roman" w:hAnsi="Times New Roman" w:cs="Times New Roman"/>
            <w:color w:val="000000" w:themeColor="text1"/>
            <w:sz w:val="26"/>
            <w:szCs w:val="26"/>
            <w:u w:val="none"/>
          </w:rPr>
          <w:t>https://doi.org/10.1016/j.ijhm.2020.102654</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Amaechi-Chijioke, J., &amp; Ibeh, P. V. (2021). The influence of economic recession in hospitality industry in a time of covid-19 pandemic: A study of selected hotels in Umuahia, Abia State, Nigeria. </w:t>
      </w:r>
      <w:r w:rsidRPr="00331FCE">
        <w:rPr>
          <w:rFonts w:ascii="Times New Roman" w:hAnsi="Times New Roman" w:cs="Times New Roman"/>
          <w:i/>
          <w:iCs/>
          <w:color w:val="000000" w:themeColor="text1"/>
          <w:sz w:val="26"/>
          <w:szCs w:val="26"/>
        </w:rPr>
        <w:t xml:space="preserve">International Journal of Advanced Research in Environment, Agriculture and Physical Sciences, 2 </w:t>
      </w:r>
      <w:r w:rsidRPr="00331FCE">
        <w:rPr>
          <w:rFonts w:ascii="Times New Roman" w:hAnsi="Times New Roman" w:cs="Times New Roman"/>
          <w:color w:val="000000" w:themeColor="text1"/>
          <w:sz w:val="26"/>
          <w:szCs w:val="26"/>
        </w:rPr>
        <w:t>(1) 44-50</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Clement, Y. G. (2020).Assessing tourism potentials in Cross Rivers and Taraba States of Nigeria.</w:t>
      </w:r>
      <w:r w:rsidRPr="00331FCE">
        <w:rPr>
          <w:rFonts w:ascii="Times New Roman" w:hAnsi="Times New Roman" w:cs="Times New Roman"/>
          <w:i/>
          <w:iCs/>
          <w:color w:val="000000" w:themeColor="text1"/>
          <w:sz w:val="26"/>
          <w:szCs w:val="26"/>
        </w:rPr>
        <w:t xml:space="preserve">African Journal of Earth and Environmental Sciences, 2 </w:t>
      </w:r>
      <w:r w:rsidRPr="00331FCE">
        <w:rPr>
          <w:rFonts w:ascii="Times New Roman" w:hAnsi="Times New Roman" w:cs="Times New Roman"/>
          <w:color w:val="000000" w:themeColor="text1"/>
          <w:sz w:val="26"/>
          <w:szCs w:val="26"/>
        </w:rPr>
        <w:t>(2) 517-523</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Cutter, S. L., Ash, K. D., &amp; Emrich, C. T. (2016). Urban–rural differences in disaster resilience. </w:t>
      </w:r>
      <w:r w:rsidRPr="00331FCE">
        <w:rPr>
          <w:rFonts w:ascii="Times New Roman" w:hAnsi="Times New Roman" w:cs="Times New Roman"/>
          <w:i/>
          <w:iCs/>
          <w:color w:val="000000" w:themeColor="text1"/>
          <w:sz w:val="26"/>
          <w:szCs w:val="26"/>
        </w:rPr>
        <w:t>Annals of the American Association of Geographers, 106</w:t>
      </w:r>
      <w:r w:rsidRPr="00331FCE">
        <w:rPr>
          <w:rFonts w:ascii="Times New Roman" w:hAnsi="Times New Roman" w:cs="Times New Roman"/>
          <w:color w:val="000000" w:themeColor="text1"/>
          <w:sz w:val="26"/>
          <w:szCs w:val="26"/>
        </w:rPr>
        <w:t>(6), 1236–1252</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Gamidullaeva, L., Vasin, S., Tolstykh, T., &amp; Zinchenko, S. (2022). Approach to regional tourism potential assessment in view of cross-sectoral ecosystem development.</w:t>
      </w:r>
      <w:r w:rsidRPr="00331FCE">
        <w:rPr>
          <w:rFonts w:ascii="Times New Roman" w:hAnsi="Times New Roman" w:cs="Times New Roman"/>
          <w:i/>
          <w:iCs/>
          <w:color w:val="000000" w:themeColor="text1"/>
          <w:sz w:val="26"/>
          <w:szCs w:val="26"/>
        </w:rPr>
        <w:t>Sustainability, 14</w:t>
      </w:r>
      <w:r w:rsidRPr="00331FCE">
        <w:rPr>
          <w:rFonts w:ascii="Times New Roman" w:hAnsi="Times New Roman" w:cs="Times New Roman"/>
          <w:color w:val="000000" w:themeColor="text1"/>
          <w:sz w:val="26"/>
          <w:szCs w:val="26"/>
        </w:rPr>
        <w:t>(15476), (e-journal).</w:t>
      </w:r>
      <w:hyperlink r:id="rId26" w:history="1">
        <w:r w:rsidRPr="00331FCE">
          <w:rPr>
            <w:rStyle w:val="Hyperlink"/>
            <w:rFonts w:ascii="Times New Roman" w:hAnsi="Times New Roman" w:cs="Times New Roman"/>
            <w:color w:val="000000" w:themeColor="text1"/>
            <w:sz w:val="26"/>
            <w:szCs w:val="26"/>
            <w:u w:val="none"/>
          </w:rPr>
          <w:t>https://doi.org/10.3390/su142215476</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Gössling, S., Scott, D., &amp; Hall, C. M. (2021). Pandemics, tourism, and global change: A rapid assessment of covid-19. </w:t>
      </w:r>
      <w:r w:rsidRPr="00331FCE">
        <w:rPr>
          <w:rFonts w:ascii="Times New Roman" w:hAnsi="Times New Roman" w:cs="Times New Roman"/>
          <w:i/>
          <w:iCs/>
          <w:color w:val="000000" w:themeColor="text1"/>
          <w:sz w:val="26"/>
          <w:szCs w:val="26"/>
        </w:rPr>
        <w:t xml:space="preserve">Journal of Sustainable Tourism, 29 </w:t>
      </w:r>
      <w:r w:rsidRPr="00331FCE">
        <w:rPr>
          <w:rFonts w:ascii="Times New Roman" w:hAnsi="Times New Roman" w:cs="Times New Roman"/>
          <w:color w:val="000000" w:themeColor="text1"/>
          <w:sz w:val="26"/>
          <w:szCs w:val="26"/>
        </w:rPr>
        <w:t>(1) 1-20</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lastRenderedPageBreak/>
        <w:t>International Labour Organization (ILO) (2020).</w:t>
      </w:r>
      <w:r w:rsidRPr="00331FCE">
        <w:rPr>
          <w:rFonts w:ascii="Times New Roman" w:hAnsi="Times New Roman" w:cs="Times New Roman"/>
          <w:i/>
          <w:iCs/>
          <w:color w:val="000000" w:themeColor="text1"/>
          <w:sz w:val="26"/>
          <w:szCs w:val="26"/>
        </w:rPr>
        <w:t>Covid-19 and the world of work: Impact and policy responses</w:t>
      </w:r>
      <w:r w:rsidRPr="00331FCE">
        <w:rPr>
          <w:rFonts w:ascii="Times New Roman" w:hAnsi="Times New Roman" w:cs="Times New Roman"/>
          <w:color w:val="000000" w:themeColor="text1"/>
          <w:sz w:val="26"/>
          <w:szCs w:val="26"/>
        </w:rPr>
        <w:t xml:space="preserve">. </w:t>
      </w:r>
      <w:hyperlink r:id="rId27" w:history="1">
        <w:r w:rsidR="004845CF" w:rsidRPr="00331FCE">
          <w:rPr>
            <w:rStyle w:val="Hyperlink"/>
            <w:rFonts w:ascii="Times New Roman" w:hAnsi="Times New Roman" w:cs="Times New Roman"/>
            <w:color w:val="000000" w:themeColor="text1"/>
            <w:sz w:val="26"/>
            <w:szCs w:val="26"/>
            <w:u w:val="none"/>
          </w:rPr>
          <w:t>https://www.ilo.org/wcmsp5/groups/public/---dgreports/--dcomm/documents/briefingnote/wcms738753.pdf</w:t>
        </w:r>
      </w:hyperlink>
      <w:r w:rsidRPr="00331FCE">
        <w:rPr>
          <w:rFonts w:ascii="Times New Roman" w:hAnsi="Times New Roman" w:cs="Times New Roman"/>
          <w:color w:val="000000" w:themeColor="text1"/>
          <w:sz w:val="26"/>
          <w:szCs w:val="26"/>
        </w:rPr>
        <w:t xml:space="preserve">. </w:t>
      </w:r>
    </w:p>
    <w:p w:rsidR="00B61A03" w:rsidRPr="00331FCE" w:rsidRDefault="00B61A03" w:rsidP="00750353">
      <w:pPr>
        <w:pStyle w:val="Default"/>
        <w:ind w:left="720" w:hanging="720"/>
        <w:contextualSpacing/>
        <w:jc w:val="both"/>
        <w:rPr>
          <w:color w:val="000000" w:themeColor="text1"/>
          <w:sz w:val="26"/>
          <w:szCs w:val="26"/>
        </w:rPr>
      </w:pPr>
      <w:r w:rsidRPr="00331FCE">
        <w:rPr>
          <w:color w:val="000000" w:themeColor="text1"/>
          <w:sz w:val="26"/>
          <w:szCs w:val="26"/>
        </w:rPr>
        <w:t>Jones, P., &amp; Comfort, D. (2020).The covid-19 crisis, tourism and sustainable development.</w:t>
      </w:r>
      <w:r w:rsidRPr="00331FCE">
        <w:rPr>
          <w:i/>
          <w:iCs/>
          <w:color w:val="000000" w:themeColor="text1"/>
          <w:sz w:val="26"/>
          <w:szCs w:val="26"/>
        </w:rPr>
        <w:t xml:space="preserve">Athens Journal of Tourism, 7 </w:t>
      </w:r>
      <w:r w:rsidRPr="00331FCE">
        <w:rPr>
          <w:color w:val="000000" w:themeColor="text1"/>
          <w:sz w:val="26"/>
          <w:szCs w:val="26"/>
        </w:rPr>
        <w:t xml:space="preserve">(2) 75-86 </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Kiran, E. (2020). Prominent issues about the social impacts of Covid-19. </w:t>
      </w:r>
      <w:r w:rsidRPr="00331FCE">
        <w:rPr>
          <w:rFonts w:ascii="Times New Roman" w:hAnsi="Times New Roman" w:cs="Times New Roman"/>
          <w:i/>
          <w:iCs/>
          <w:color w:val="000000" w:themeColor="text1"/>
          <w:sz w:val="26"/>
          <w:szCs w:val="26"/>
        </w:rPr>
        <w:t>Gaziantep University Journal of Social Sciences 2020 Special Issue</w:t>
      </w:r>
      <w:r w:rsidRPr="00331FCE">
        <w:rPr>
          <w:rFonts w:ascii="Times New Roman" w:hAnsi="Times New Roman" w:cs="Times New Roman"/>
          <w:color w:val="000000" w:themeColor="text1"/>
          <w:sz w:val="26"/>
          <w:szCs w:val="26"/>
        </w:rPr>
        <w:t>, 752-766</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Korinth, B. (2022). Impact of the covid-19 pandemic on international tourism income in tourism receiving countries.</w:t>
      </w:r>
      <w:r w:rsidRPr="00331FCE">
        <w:rPr>
          <w:rFonts w:ascii="Times New Roman" w:hAnsi="Times New Roman" w:cs="Times New Roman"/>
          <w:i/>
          <w:iCs/>
          <w:color w:val="000000" w:themeColor="text1"/>
          <w:sz w:val="26"/>
          <w:szCs w:val="26"/>
        </w:rPr>
        <w:t>Sustainability, 14</w:t>
      </w:r>
      <w:r w:rsidRPr="00331FCE">
        <w:rPr>
          <w:rFonts w:ascii="Times New Roman" w:hAnsi="Times New Roman" w:cs="Times New Roman"/>
          <w:color w:val="000000" w:themeColor="text1"/>
          <w:sz w:val="26"/>
          <w:szCs w:val="26"/>
        </w:rPr>
        <w:t>(12550), (e-journal).</w:t>
      </w:r>
      <w:hyperlink r:id="rId28" w:history="1">
        <w:r w:rsidR="00782956" w:rsidRPr="00331FCE">
          <w:rPr>
            <w:rStyle w:val="Hyperlink"/>
            <w:rFonts w:ascii="Times New Roman" w:hAnsi="Times New Roman" w:cs="Times New Roman"/>
            <w:color w:val="000000" w:themeColor="text1"/>
            <w:sz w:val="26"/>
            <w:szCs w:val="26"/>
            <w:u w:val="none"/>
          </w:rPr>
          <w:t>https://doi.org/10.3390/su141912550</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Kusumaningrum, D. A., &amp; Wachyuni, S. S. (2020). The shifting trends in travelling after the covid-19 pandemic. </w:t>
      </w:r>
      <w:r w:rsidRPr="00331FCE">
        <w:rPr>
          <w:rFonts w:ascii="Times New Roman" w:hAnsi="Times New Roman" w:cs="Times New Roman"/>
          <w:i/>
          <w:iCs/>
          <w:color w:val="000000" w:themeColor="text1"/>
          <w:sz w:val="26"/>
          <w:szCs w:val="26"/>
        </w:rPr>
        <w:t xml:space="preserve">International Journal of Tourism and Hospitality Review, 7 </w:t>
      </w:r>
      <w:r w:rsidRPr="00331FCE">
        <w:rPr>
          <w:rFonts w:ascii="Times New Roman" w:hAnsi="Times New Roman" w:cs="Times New Roman"/>
          <w:color w:val="000000" w:themeColor="text1"/>
          <w:sz w:val="26"/>
          <w:szCs w:val="26"/>
        </w:rPr>
        <w:t>(2) 31-40</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Nairametrics, (2020).</w:t>
      </w:r>
      <w:r w:rsidRPr="00331FCE">
        <w:rPr>
          <w:rFonts w:ascii="Times New Roman" w:hAnsi="Times New Roman" w:cs="Times New Roman"/>
          <w:i/>
          <w:iCs/>
          <w:color w:val="000000" w:themeColor="text1"/>
          <w:sz w:val="26"/>
          <w:szCs w:val="26"/>
        </w:rPr>
        <w:t>Hotels in Nigeria are on the verge of collapse</w:t>
      </w:r>
      <w:r w:rsidR="00843124" w:rsidRPr="00331FCE">
        <w:rPr>
          <w:rFonts w:ascii="Times New Roman" w:hAnsi="Times New Roman" w:cs="Times New Roman"/>
          <w:color w:val="000000" w:themeColor="text1"/>
          <w:sz w:val="26"/>
          <w:szCs w:val="26"/>
        </w:rPr>
        <w:t>. N</w:t>
      </w:r>
      <w:r w:rsidRPr="00331FCE">
        <w:rPr>
          <w:rFonts w:ascii="Times New Roman" w:hAnsi="Times New Roman" w:cs="Times New Roman"/>
          <w:color w:val="000000" w:themeColor="text1"/>
          <w:sz w:val="26"/>
          <w:szCs w:val="26"/>
        </w:rPr>
        <w:t>airametrics.com/hotels-in-nigeria-are-on-the-verge-of-collapse</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Nwabuishi, H., &amp; Awritefe, O. D. (2022).The impact of COVID-19 on environmental resources in River Ethiope Region, Delta State, Nigeria.</w:t>
      </w:r>
      <w:r w:rsidRPr="00331FCE">
        <w:rPr>
          <w:rFonts w:ascii="Times New Roman" w:hAnsi="Times New Roman" w:cs="Times New Roman"/>
          <w:i/>
          <w:iCs/>
          <w:color w:val="000000" w:themeColor="text1"/>
          <w:sz w:val="26"/>
          <w:szCs w:val="26"/>
        </w:rPr>
        <w:t xml:space="preserve">Journal of Research in Humanities and Social Science, 10 </w:t>
      </w:r>
      <w:r w:rsidRPr="00331FCE">
        <w:rPr>
          <w:rFonts w:ascii="Times New Roman" w:hAnsi="Times New Roman" w:cs="Times New Roman"/>
          <w:color w:val="000000" w:themeColor="text1"/>
          <w:sz w:val="26"/>
          <w:szCs w:val="26"/>
        </w:rPr>
        <w:t>(12) 361-369</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Obinna, M. O. (2021). Impact of covid-19 on Nigeria hospitality workers: risk perception and depression. </w:t>
      </w:r>
      <w:r w:rsidRPr="00331FCE">
        <w:rPr>
          <w:rFonts w:ascii="Times New Roman" w:hAnsi="Times New Roman" w:cs="Times New Roman"/>
          <w:i/>
          <w:iCs/>
          <w:color w:val="000000" w:themeColor="text1"/>
          <w:sz w:val="26"/>
          <w:szCs w:val="26"/>
        </w:rPr>
        <w:t xml:space="preserve">European Journal of Hospitality and Tourism Research, 9 </w:t>
      </w:r>
      <w:r w:rsidRPr="00331FCE">
        <w:rPr>
          <w:rFonts w:ascii="Times New Roman" w:hAnsi="Times New Roman" w:cs="Times New Roman"/>
          <w:color w:val="000000" w:themeColor="text1"/>
          <w:sz w:val="26"/>
          <w:szCs w:val="26"/>
        </w:rPr>
        <w:t>(4) 29-42</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Olowookere, C. A., Ala, A. A., &amp; Olanrewaju, T. S. (2021). Evaluation of the potential impacts of covid-19 pandemic on hospitality and tourism in Nigeria.</w:t>
      </w:r>
      <w:r w:rsidRPr="00331FCE">
        <w:rPr>
          <w:rFonts w:ascii="Times New Roman" w:hAnsi="Times New Roman" w:cs="Times New Roman"/>
          <w:i/>
          <w:iCs/>
          <w:color w:val="000000" w:themeColor="text1"/>
          <w:sz w:val="26"/>
          <w:szCs w:val="26"/>
        </w:rPr>
        <w:t xml:space="preserve">International Journal of Education and Social Science Research (IJESSR), 4 </w:t>
      </w:r>
      <w:r w:rsidRPr="00331FCE">
        <w:rPr>
          <w:rFonts w:ascii="Times New Roman" w:hAnsi="Times New Roman" w:cs="Times New Roman"/>
          <w:color w:val="000000" w:themeColor="text1"/>
          <w:sz w:val="26"/>
          <w:szCs w:val="26"/>
        </w:rPr>
        <w:t>(6) 270-279</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Oruonye, E. D., &amp; Ahmed, Y. M. (2020).An appraisal of the potential impacts of Covid-19 on tourism in Nigeria.</w:t>
      </w:r>
      <w:r w:rsidRPr="00331FCE">
        <w:rPr>
          <w:rFonts w:ascii="Times New Roman" w:hAnsi="Times New Roman" w:cs="Times New Roman"/>
          <w:i/>
          <w:iCs/>
          <w:color w:val="000000" w:themeColor="text1"/>
          <w:sz w:val="26"/>
          <w:szCs w:val="26"/>
        </w:rPr>
        <w:t xml:space="preserve">Journal of Economics and Technology Research, 1 </w:t>
      </w:r>
      <w:r w:rsidRPr="00331FCE">
        <w:rPr>
          <w:rFonts w:ascii="Times New Roman" w:hAnsi="Times New Roman" w:cs="Times New Roman"/>
          <w:color w:val="000000" w:themeColor="text1"/>
          <w:sz w:val="26"/>
          <w:szCs w:val="26"/>
        </w:rPr>
        <w:t xml:space="preserve">(1) 32-41 </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Piate, R. C., Inyang, I. I., &amp; Akpan, U. J. (2022). Assessment of post covid 19 pandemic experience in hospitality industry in Nigeria: An empirical study of the control and remedies to social implications. </w:t>
      </w:r>
      <w:r w:rsidRPr="00331FCE">
        <w:rPr>
          <w:rFonts w:ascii="Times New Roman" w:hAnsi="Times New Roman" w:cs="Times New Roman"/>
          <w:i/>
          <w:iCs/>
          <w:color w:val="000000" w:themeColor="text1"/>
          <w:sz w:val="26"/>
          <w:szCs w:val="26"/>
        </w:rPr>
        <w:t xml:space="preserve">Academic Journal of Global who is who in Academia, 4 </w:t>
      </w:r>
      <w:r w:rsidRPr="00331FCE">
        <w:rPr>
          <w:rFonts w:ascii="Times New Roman" w:hAnsi="Times New Roman" w:cs="Times New Roman"/>
          <w:color w:val="000000" w:themeColor="text1"/>
          <w:sz w:val="26"/>
          <w:szCs w:val="26"/>
        </w:rPr>
        <w:t>(1), 1-19</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Qiu, R. T., Park, J., Li, S., &amp; Song, H. (2020).Social costs of tourism during the covid-19 pandemic.</w:t>
      </w:r>
      <w:r w:rsidRPr="00331FCE">
        <w:rPr>
          <w:rFonts w:ascii="Times New Roman" w:hAnsi="Times New Roman" w:cs="Times New Roman"/>
          <w:i/>
          <w:iCs/>
          <w:color w:val="000000" w:themeColor="text1"/>
          <w:sz w:val="26"/>
          <w:szCs w:val="26"/>
        </w:rPr>
        <w:t>Annals of Tourism Research</w:t>
      </w:r>
      <w:r w:rsidRPr="00331FCE">
        <w:rPr>
          <w:rFonts w:ascii="Times New Roman" w:hAnsi="Times New Roman" w:cs="Times New Roman"/>
          <w:color w:val="000000" w:themeColor="text1"/>
          <w:sz w:val="26"/>
          <w:szCs w:val="26"/>
        </w:rPr>
        <w:t>, 84, (e-journal). https://doi.org/10.1016/j.annals.2020.102994</w:t>
      </w:r>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 xml:space="preserve">Soliku, O., Kyiire, B., Mahama, A., &amp; Kubio, C. (2021). Tourism amid COVID-19 pandemic: impacts and implications for building resilience in the eco-tourism sector in Ghana's Savannah region. </w:t>
      </w:r>
      <w:r w:rsidRPr="00331FCE">
        <w:rPr>
          <w:rFonts w:ascii="Times New Roman" w:hAnsi="Times New Roman" w:cs="Times New Roman"/>
          <w:i/>
          <w:iCs/>
          <w:color w:val="000000" w:themeColor="text1"/>
          <w:sz w:val="26"/>
          <w:szCs w:val="26"/>
        </w:rPr>
        <w:t>Heliyon, 7</w:t>
      </w:r>
      <w:r w:rsidRPr="00331FCE">
        <w:rPr>
          <w:rFonts w:ascii="Times New Roman" w:hAnsi="Times New Roman" w:cs="Times New Roman"/>
          <w:color w:val="000000" w:themeColor="text1"/>
          <w:sz w:val="26"/>
          <w:szCs w:val="26"/>
        </w:rPr>
        <w:t>(e07892), (e-journal).</w:t>
      </w:r>
      <w:hyperlink r:id="rId29" w:history="1">
        <w:r w:rsidR="00574BD6" w:rsidRPr="00331FCE">
          <w:rPr>
            <w:rStyle w:val="Hyperlink"/>
            <w:rFonts w:ascii="Times New Roman" w:hAnsi="Times New Roman" w:cs="Times New Roman"/>
            <w:color w:val="000000" w:themeColor="text1"/>
            <w:sz w:val="26"/>
            <w:szCs w:val="26"/>
            <w:u w:val="none"/>
          </w:rPr>
          <w:t>https://doi.org/10.1016/j.heliyon.2021.e07892</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t>Teshome, E., Dereje, M., &amp; Asfaw, Y. (2022).Potentials, challenges and economic contributions of tourism resources in the South Achefer district, Ethiopia.</w:t>
      </w:r>
      <w:r w:rsidRPr="00331FCE">
        <w:rPr>
          <w:rFonts w:ascii="Times New Roman" w:hAnsi="Times New Roman" w:cs="Times New Roman"/>
          <w:i/>
          <w:iCs/>
          <w:color w:val="000000" w:themeColor="text1"/>
          <w:sz w:val="26"/>
          <w:szCs w:val="26"/>
        </w:rPr>
        <w:t>Cogent Social Sciences, 8</w:t>
      </w:r>
      <w:r w:rsidRPr="00331FCE">
        <w:rPr>
          <w:rFonts w:ascii="Times New Roman" w:hAnsi="Times New Roman" w:cs="Times New Roman"/>
          <w:color w:val="000000" w:themeColor="text1"/>
          <w:sz w:val="26"/>
          <w:szCs w:val="26"/>
        </w:rPr>
        <w:t>(2041290), (e-journal).</w:t>
      </w:r>
      <w:hyperlink r:id="rId30" w:history="1">
        <w:r w:rsidRPr="00331FCE">
          <w:rPr>
            <w:rStyle w:val="Hyperlink"/>
            <w:rFonts w:ascii="Times New Roman" w:hAnsi="Times New Roman" w:cs="Times New Roman"/>
            <w:color w:val="000000" w:themeColor="text1"/>
            <w:sz w:val="26"/>
            <w:szCs w:val="26"/>
            <w:u w:val="none"/>
          </w:rPr>
          <w:t>https://doi.org/10.1080/23311886.2022.2041290</w:t>
        </w:r>
      </w:hyperlink>
    </w:p>
    <w:p w:rsidR="00B61A03" w:rsidRPr="00331FCE" w:rsidRDefault="00B61A03" w:rsidP="00750353">
      <w:pPr>
        <w:autoSpaceDE w:val="0"/>
        <w:autoSpaceDN w:val="0"/>
        <w:adjustRightInd w:val="0"/>
        <w:spacing w:after="0" w:line="240" w:lineRule="auto"/>
        <w:ind w:left="720" w:hanging="720"/>
        <w:contextualSpacing/>
        <w:jc w:val="both"/>
        <w:rPr>
          <w:rFonts w:ascii="Times New Roman" w:hAnsi="Times New Roman" w:cs="Times New Roman"/>
          <w:color w:val="000000" w:themeColor="text1"/>
          <w:sz w:val="26"/>
          <w:szCs w:val="26"/>
        </w:rPr>
      </w:pPr>
      <w:r w:rsidRPr="00331FCE">
        <w:rPr>
          <w:rFonts w:ascii="Times New Roman" w:hAnsi="Times New Roman" w:cs="Times New Roman"/>
          <w:color w:val="000000" w:themeColor="text1"/>
          <w:sz w:val="26"/>
          <w:szCs w:val="26"/>
        </w:rPr>
        <w:lastRenderedPageBreak/>
        <w:t xml:space="preserve">World Health Organization (WHO).(2020). </w:t>
      </w:r>
      <w:r w:rsidRPr="00331FCE">
        <w:rPr>
          <w:rFonts w:ascii="Times New Roman" w:hAnsi="Times New Roman" w:cs="Times New Roman"/>
          <w:i/>
          <w:iCs/>
          <w:color w:val="000000" w:themeColor="text1"/>
          <w:sz w:val="26"/>
          <w:szCs w:val="26"/>
        </w:rPr>
        <w:t>Q &amp; A on coronaviruses (COVID-19)</w:t>
      </w:r>
      <w:r w:rsidRPr="00331FCE">
        <w:rPr>
          <w:rFonts w:ascii="Times New Roman" w:hAnsi="Times New Roman" w:cs="Times New Roman"/>
          <w:color w:val="000000" w:themeColor="text1"/>
          <w:sz w:val="26"/>
          <w:szCs w:val="26"/>
        </w:rPr>
        <w:t>.</w:t>
      </w:r>
      <w:hyperlink r:id="rId31" w:history="1">
        <w:r w:rsidRPr="00331FCE">
          <w:rPr>
            <w:rStyle w:val="Hyperlink"/>
            <w:rFonts w:ascii="Times New Roman" w:hAnsi="Times New Roman" w:cs="Times New Roman"/>
            <w:color w:val="000000" w:themeColor="text1"/>
            <w:sz w:val="26"/>
            <w:szCs w:val="26"/>
            <w:u w:val="none"/>
          </w:rPr>
          <w:t>https://www.who.int/newsroom/q-a-detail/q-a-coronaviruses</w:t>
        </w:r>
      </w:hyperlink>
    </w:p>
    <w:p w:rsidR="00B61A03" w:rsidRPr="00331FCE" w:rsidRDefault="00B61A03" w:rsidP="00750353">
      <w:pPr>
        <w:autoSpaceDE w:val="0"/>
        <w:autoSpaceDN w:val="0"/>
        <w:adjustRightInd w:val="0"/>
        <w:spacing w:after="0" w:line="240" w:lineRule="auto"/>
        <w:ind w:left="720" w:hanging="720"/>
        <w:contextualSpacing/>
        <w:jc w:val="both"/>
        <w:rPr>
          <w:rStyle w:val="Hyperlink"/>
          <w:rFonts w:ascii="Times New Roman" w:hAnsi="Times New Roman" w:cs="Times New Roman"/>
          <w:color w:val="000000" w:themeColor="text1"/>
          <w:sz w:val="26"/>
          <w:szCs w:val="26"/>
          <w:u w:val="none"/>
        </w:rPr>
      </w:pPr>
      <w:r w:rsidRPr="00331FCE">
        <w:rPr>
          <w:rFonts w:ascii="Times New Roman" w:hAnsi="Times New Roman" w:cs="Times New Roman"/>
          <w:color w:val="000000" w:themeColor="text1"/>
          <w:sz w:val="26"/>
          <w:szCs w:val="26"/>
        </w:rPr>
        <w:t>World Travel and Tourism Council (2010).</w:t>
      </w:r>
      <w:r w:rsidRPr="00331FCE">
        <w:rPr>
          <w:rFonts w:ascii="Times New Roman" w:hAnsi="Times New Roman" w:cs="Times New Roman"/>
          <w:i/>
          <w:iCs/>
          <w:color w:val="000000" w:themeColor="text1"/>
          <w:sz w:val="26"/>
          <w:szCs w:val="26"/>
        </w:rPr>
        <w:t>Progress and Priorities Report</w:t>
      </w:r>
      <w:r w:rsidRPr="00331FCE">
        <w:rPr>
          <w:rFonts w:ascii="Times New Roman" w:hAnsi="Times New Roman" w:cs="Times New Roman"/>
          <w:color w:val="000000" w:themeColor="text1"/>
          <w:sz w:val="26"/>
          <w:szCs w:val="26"/>
        </w:rPr>
        <w:t>.</w:t>
      </w:r>
      <w:hyperlink r:id="rId32" w:history="1">
        <w:r w:rsidRPr="00331FCE">
          <w:rPr>
            <w:rStyle w:val="Hyperlink"/>
            <w:rFonts w:ascii="Times New Roman" w:hAnsi="Times New Roman" w:cs="Times New Roman"/>
            <w:color w:val="000000" w:themeColor="text1"/>
            <w:sz w:val="26"/>
            <w:szCs w:val="26"/>
            <w:u w:val="none"/>
          </w:rPr>
          <w:t>http://www.wttc.org/bin/pdf/original_pdf_file/pandp_final2_low_res.pdf</w:t>
        </w:r>
      </w:hyperlink>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A83DE5" w:rsidRDefault="00A83DE5" w:rsidP="007137CC">
      <w:pPr>
        <w:autoSpaceDE w:val="0"/>
        <w:autoSpaceDN w:val="0"/>
        <w:adjustRightInd w:val="0"/>
        <w:spacing w:after="0" w:line="240" w:lineRule="auto"/>
        <w:jc w:val="center"/>
        <w:rPr>
          <w:rFonts w:ascii="Times New Roman" w:hAnsi="Times New Roman" w:cs="Times New Roman"/>
          <w:b/>
          <w:sz w:val="26"/>
          <w:szCs w:val="26"/>
        </w:rPr>
      </w:pPr>
    </w:p>
    <w:p w:rsidR="00E5538A" w:rsidRDefault="006D1F09" w:rsidP="007137CC">
      <w:pPr>
        <w:autoSpaceDE w:val="0"/>
        <w:autoSpaceDN w:val="0"/>
        <w:adjustRightInd w:val="0"/>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lastRenderedPageBreak/>
        <w:t xml:space="preserve">Cost-Sharing Approach to Financing </w:t>
      </w:r>
    </w:p>
    <w:p w:rsidR="006D1F09" w:rsidRPr="00210BD3" w:rsidRDefault="006D1F09" w:rsidP="007137CC">
      <w:pPr>
        <w:autoSpaceDE w:val="0"/>
        <w:autoSpaceDN w:val="0"/>
        <w:adjustRightInd w:val="0"/>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t>University Education for Sustainable National Development</w:t>
      </w:r>
    </w:p>
    <w:p w:rsidR="006D1F09" w:rsidRPr="00210BD3" w:rsidRDefault="006D1F09" w:rsidP="007137CC">
      <w:pPr>
        <w:autoSpaceDE w:val="0"/>
        <w:autoSpaceDN w:val="0"/>
        <w:adjustRightInd w:val="0"/>
        <w:spacing w:after="0" w:line="240" w:lineRule="auto"/>
        <w:jc w:val="center"/>
        <w:rPr>
          <w:rFonts w:ascii="Times New Roman" w:hAnsi="Times New Roman" w:cs="Times New Roman"/>
          <w:b/>
          <w:sz w:val="26"/>
          <w:szCs w:val="26"/>
        </w:rPr>
      </w:pPr>
    </w:p>
    <w:p w:rsidR="00331FCE" w:rsidRDefault="006D1F09" w:rsidP="007137CC">
      <w:pPr>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t>Ekaette, S. O.</w:t>
      </w:r>
      <w:r w:rsidRPr="00210BD3">
        <w:rPr>
          <w:rFonts w:ascii="Times New Roman" w:hAnsi="Times New Roman" w:cs="Times New Roman"/>
          <w:sz w:val="26"/>
          <w:szCs w:val="26"/>
          <w:vertAlign w:val="superscript"/>
        </w:rPr>
        <w:t>1,4</w:t>
      </w:r>
      <w:r w:rsidRPr="00210BD3">
        <w:rPr>
          <w:rFonts w:ascii="Times New Roman" w:hAnsi="Times New Roman" w:cs="Times New Roman"/>
          <w:b/>
          <w:sz w:val="26"/>
          <w:szCs w:val="26"/>
        </w:rPr>
        <w:t>Inah, R. A</w:t>
      </w:r>
      <w:r w:rsidRPr="00210BD3">
        <w:rPr>
          <w:rFonts w:ascii="Times New Roman" w:hAnsi="Times New Roman" w:cs="Times New Roman"/>
          <w:bCs/>
          <w:sz w:val="26"/>
          <w:szCs w:val="26"/>
          <w:vertAlign w:val="superscript"/>
        </w:rPr>
        <w:t>1.4</w:t>
      </w:r>
      <w:r w:rsidRPr="00210BD3">
        <w:rPr>
          <w:rFonts w:ascii="Times New Roman" w:hAnsi="Times New Roman" w:cs="Times New Roman"/>
          <w:b/>
          <w:sz w:val="26"/>
          <w:szCs w:val="26"/>
        </w:rPr>
        <w:t>, Ekpenyong, J. A.</w:t>
      </w:r>
      <w:r w:rsidRPr="00210BD3">
        <w:rPr>
          <w:rFonts w:ascii="Times New Roman" w:hAnsi="Times New Roman" w:cs="Times New Roman"/>
          <w:sz w:val="26"/>
          <w:szCs w:val="26"/>
          <w:vertAlign w:val="superscript"/>
        </w:rPr>
        <w:t>1,3,4</w:t>
      </w:r>
      <w:r w:rsidRPr="00210BD3">
        <w:rPr>
          <w:rFonts w:ascii="Times New Roman" w:hAnsi="Times New Roman" w:cs="Times New Roman"/>
          <w:b/>
          <w:sz w:val="26"/>
          <w:szCs w:val="26"/>
        </w:rPr>
        <w:t xml:space="preserve">, </w:t>
      </w:r>
    </w:p>
    <w:p w:rsidR="006D1F09" w:rsidRPr="00210BD3" w:rsidRDefault="006D1F09" w:rsidP="007137CC">
      <w:pPr>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t>Effah, F. A.</w:t>
      </w:r>
      <w:r w:rsidRPr="00210BD3">
        <w:rPr>
          <w:rFonts w:ascii="Times New Roman" w:hAnsi="Times New Roman" w:cs="Times New Roman"/>
          <w:bCs/>
          <w:sz w:val="26"/>
          <w:szCs w:val="26"/>
          <w:vertAlign w:val="superscript"/>
        </w:rPr>
        <w:t>1</w:t>
      </w:r>
      <w:r w:rsidRPr="00210BD3">
        <w:rPr>
          <w:rFonts w:ascii="Times New Roman" w:hAnsi="Times New Roman" w:cs="Times New Roman"/>
          <w:sz w:val="26"/>
          <w:szCs w:val="26"/>
          <w:vertAlign w:val="superscript"/>
        </w:rPr>
        <w:t>,4</w:t>
      </w:r>
      <w:r w:rsidRPr="00210BD3">
        <w:rPr>
          <w:rFonts w:ascii="Times New Roman" w:hAnsi="Times New Roman" w:cs="Times New Roman"/>
          <w:b/>
          <w:sz w:val="26"/>
          <w:szCs w:val="26"/>
        </w:rPr>
        <w:t>, Owan, V. J</w:t>
      </w:r>
      <w:r w:rsidRPr="00210BD3">
        <w:rPr>
          <w:rFonts w:ascii="Times New Roman" w:hAnsi="Times New Roman" w:cs="Times New Roman"/>
          <w:bCs/>
          <w:sz w:val="26"/>
          <w:szCs w:val="26"/>
          <w:vertAlign w:val="superscript"/>
        </w:rPr>
        <w:t>2,3,4</w:t>
      </w:r>
      <w:r w:rsidRPr="00210BD3">
        <w:rPr>
          <w:rFonts w:ascii="Times New Roman" w:hAnsi="Times New Roman" w:cs="Times New Roman"/>
          <w:b/>
          <w:sz w:val="26"/>
          <w:szCs w:val="26"/>
        </w:rPr>
        <w:t>, Mbon, U. F.</w:t>
      </w:r>
      <w:r w:rsidRPr="00210BD3">
        <w:rPr>
          <w:rFonts w:ascii="Times New Roman" w:hAnsi="Times New Roman" w:cs="Times New Roman"/>
          <w:bCs/>
          <w:sz w:val="26"/>
          <w:szCs w:val="26"/>
          <w:vertAlign w:val="superscript"/>
        </w:rPr>
        <w:t>1,2</w:t>
      </w:r>
    </w:p>
    <w:p w:rsidR="006D1F09" w:rsidRPr="00210BD3" w:rsidRDefault="006D1F09" w:rsidP="007137CC">
      <w:pPr>
        <w:autoSpaceDE w:val="0"/>
        <w:autoSpaceDN w:val="0"/>
        <w:adjustRightInd w:val="0"/>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Department of Educational Management</w:t>
      </w:r>
      <w:r w:rsidRPr="00210BD3">
        <w:rPr>
          <w:rFonts w:ascii="Times New Roman" w:hAnsi="Times New Roman" w:cs="Times New Roman"/>
          <w:sz w:val="26"/>
          <w:szCs w:val="26"/>
          <w:vertAlign w:val="superscript"/>
        </w:rPr>
        <w:t>1</w:t>
      </w:r>
    </w:p>
    <w:p w:rsidR="006D1F09" w:rsidRPr="00210BD3" w:rsidRDefault="006D1F09" w:rsidP="007137CC">
      <w:pPr>
        <w:autoSpaceDE w:val="0"/>
        <w:autoSpaceDN w:val="0"/>
        <w:adjustRightInd w:val="0"/>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Department of Educational Foundations</w:t>
      </w:r>
      <w:r w:rsidRPr="00210BD3">
        <w:rPr>
          <w:rFonts w:ascii="Times New Roman" w:hAnsi="Times New Roman" w:cs="Times New Roman"/>
          <w:sz w:val="26"/>
          <w:szCs w:val="26"/>
          <w:vertAlign w:val="superscript"/>
        </w:rPr>
        <w:t>2</w:t>
      </w:r>
    </w:p>
    <w:p w:rsidR="006D1F09" w:rsidRPr="00210BD3" w:rsidRDefault="006D1F09" w:rsidP="007137CC">
      <w:pPr>
        <w:autoSpaceDE w:val="0"/>
        <w:autoSpaceDN w:val="0"/>
        <w:adjustRightInd w:val="0"/>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Ultimate Research Network (URN)</w:t>
      </w:r>
      <w:r w:rsidRPr="00210BD3">
        <w:rPr>
          <w:rFonts w:ascii="Times New Roman" w:hAnsi="Times New Roman" w:cs="Times New Roman"/>
          <w:sz w:val="26"/>
          <w:szCs w:val="26"/>
          <w:vertAlign w:val="superscript"/>
        </w:rPr>
        <w:t xml:space="preserve"> 3</w:t>
      </w:r>
    </w:p>
    <w:p w:rsidR="006D1F09" w:rsidRPr="00210BD3" w:rsidRDefault="006D1F09" w:rsidP="007137CC">
      <w:pPr>
        <w:autoSpaceDE w:val="0"/>
        <w:autoSpaceDN w:val="0"/>
        <w:adjustRightInd w:val="0"/>
        <w:spacing w:after="0" w:line="240" w:lineRule="auto"/>
        <w:jc w:val="center"/>
        <w:rPr>
          <w:rFonts w:ascii="Times New Roman" w:hAnsi="Times New Roman" w:cs="Times New Roman"/>
          <w:b/>
          <w:sz w:val="26"/>
          <w:szCs w:val="26"/>
        </w:rPr>
      </w:pPr>
      <w:r w:rsidRPr="00210BD3">
        <w:rPr>
          <w:rFonts w:ascii="Times New Roman" w:hAnsi="Times New Roman" w:cs="Times New Roman"/>
          <w:sz w:val="26"/>
          <w:szCs w:val="26"/>
        </w:rPr>
        <w:t>University of Calabar, Calabar</w:t>
      </w:r>
      <w:r w:rsidRPr="00210BD3">
        <w:rPr>
          <w:rFonts w:ascii="Times New Roman" w:hAnsi="Times New Roman" w:cs="Times New Roman"/>
          <w:sz w:val="26"/>
          <w:szCs w:val="26"/>
          <w:vertAlign w:val="superscript"/>
        </w:rPr>
        <w:t>4</w:t>
      </w:r>
    </w:p>
    <w:p w:rsidR="00331FCE" w:rsidRDefault="00331FCE" w:rsidP="007137CC">
      <w:pPr>
        <w:spacing w:line="240" w:lineRule="auto"/>
        <w:jc w:val="center"/>
        <w:rPr>
          <w:rFonts w:ascii="Times New Roman" w:hAnsi="Times New Roman" w:cs="Times New Roman"/>
          <w:sz w:val="26"/>
          <w:szCs w:val="26"/>
        </w:rPr>
      </w:pPr>
    </w:p>
    <w:p w:rsidR="006D1F09" w:rsidRPr="00210BD3" w:rsidRDefault="006D1F09" w:rsidP="007137CC">
      <w:pPr>
        <w:spacing w:line="240" w:lineRule="auto"/>
        <w:jc w:val="center"/>
        <w:rPr>
          <w:rFonts w:ascii="Times New Roman" w:hAnsi="Times New Roman" w:cs="Times New Roman"/>
          <w:sz w:val="26"/>
          <w:szCs w:val="26"/>
        </w:rPr>
      </w:pPr>
      <w:r w:rsidRPr="00210BD3">
        <w:rPr>
          <w:rFonts w:ascii="Times New Roman" w:hAnsi="Times New Roman" w:cs="Times New Roman"/>
          <w:sz w:val="26"/>
          <w:szCs w:val="26"/>
        </w:rPr>
        <w:t xml:space="preserve">Corresponding Email: </w:t>
      </w:r>
      <w:hyperlink r:id="rId33" w:history="1">
        <w:r w:rsidRPr="00210BD3">
          <w:rPr>
            <w:rStyle w:val="15"/>
            <w:rFonts w:ascii="Times New Roman" w:hAnsi="Times New Roman" w:cs="Times New Roman"/>
            <w:sz w:val="26"/>
            <w:szCs w:val="26"/>
          </w:rPr>
          <w:t>ekpejeh@yahoo.com</w:t>
        </w:r>
      </w:hyperlink>
      <w:r w:rsidRPr="00210BD3">
        <w:rPr>
          <w:rFonts w:ascii="Times New Roman" w:hAnsi="Times New Roman" w:cs="Times New Roman"/>
          <w:sz w:val="26"/>
          <w:szCs w:val="26"/>
        </w:rPr>
        <w:t xml:space="preserve">; sammylucky2009@yahoo.com. </w:t>
      </w:r>
    </w:p>
    <w:p w:rsidR="006D1F09" w:rsidRPr="00210BD3" w:rsidRDefault="006D1F09" w:rsidP="007137CC">
      <w:pPr>
        <w:autoSpaceDE w:val="0"/>
        <w:autoSpaceDN w:val="0"/>
        <w:adjustRightInd w:val="0"/>
        <w:spacing w:after="0"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t>Abstract</w:t>
      </w:r>
    </w:p>
    <w:p w:rsidR="006D1F09" w:rsidRPr="00210BD3" w:rsidRDefault="006D1F09" w:rsidP="007137CC">
      <w:pPr>
        <w:spacing w:line="240" w:lineRule="auto"/>
        <w:jc w:val="both"/>
        <w:rPr>
          <w:rFonts w:ascii="Times New Roman" w:hAnsi="Times New Roman" w:cs="Times New Roman"/>
          <w:i/>
          <w:sz w:val="26"/>
          <w:szCs w:val="26"/>
        </w:rPr>
      </w:pPr>
      <w:r w:rsidRPr="00210BD3">
        <w:rPr>
          <w:rFonts w:ascii="Times New Roman" w:hAnsi="Times New Roman" w:cs="Times New Roman"/>
          <w:i/>
          <w:sz w:val="26"/>
          <w:szCs w:val="26"/>
        </w:rPr>
        <w:t>This study examined cost-sharing approach of financing university education for sustainable national development and specifically answered two research questions, and tested a null hypothesis. The research design adopted for the study was ex-post-facto design. The population of the study comprised all academic staff in University of Uyo and University of Calabar. The sample size consisted of 250 academic staff drawn from the University of Calabar and University of Uyo using simple random sampling technique. Cost-sharing Approach of Financing University Education for Sustainable National Development Questionnaire (CSAFUESNDQ) was developed on a three-point scale of high, moderate and low to gather the needed data for the work. The two research questions were answered using mean and standard deviation, while the hypothesis was tested using Paired-Sample t-test statistics at .05 levels of significance. The result reveal a significant difference in the contributions of parents and corporate bodies/companies to university education in Nigeria, and that parent contributed to university education more than the corporate bodies/companies. Conclusions are that funding approach applied to educational system is very cardinal to the effective delivery of education at any level in the society; university education demands huge resources and high funding structure for effectiveness of the system, among others. It is recommended that government at all levels should devise strategies to increase or improve the purchasing power of households so that more parent would be able to send their children to universities and that the universities should improve their partnership with non-governmental organizations and other corporate organization so as to secure their cooperation and contribution for sustainable development of universities in Nigeria</w:t>
      </w:r>
      <w:r w:rsidRPr="00210BD3">
        <w:rPr>
          <w:rFonts w:ascii="Times New Roman" w:hAnsi="Times New Roman" w:cs="Times New Roman"/>
          <w:sz w:val="26"/>
          <w:szCs w:val="26"/>
        </w:rPr>
        <w:t>.</w:t>
      </w: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Key words</w:t>
      </w:r>
      <w:r w:rsidRPr="00210BD3">
        <w:rPr>
          <w:rFonts w:ascii="Times New Roman" w:hAnsi="Times New Roman" w:cs="Times New Roman"/>
          <w:sz w:val="26"/>
          <w:szCs w:val="26"/>
        </w:rPr>
        <w:t>: Cost-sharing approach, Financing, Sustainable national development, University education.</w:t>
      </w: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p>
    <w:p w:rsidR="00331FCE" w:rsidRDefault="00331FCE" w:rsidP="007137CC">
      <w:pPr>
        <w:autoSpaceDE w:val="0"/>
        <w:autoSpaceDN w:val="0"/>
        <w:adjustRightInd w:val="0"/>
        <w:spacing w:after="0" w:line="240" w:lineRule="auto"/>
        <w:jc w:val="both"/>
        <w:rPr>
          <w:rFonts w:ascii="Times New Roman" w:hAnsi="Times New Roman" w:cs="Times New Roman"/>
          <w:b/>
          <w:sz w:val="26"/>
          <w:szCs w:val="26"/>
        </w:rPr>
        <w:sectPr w:rsidR="00331FCE" w:rsidSect="00210BD3">
          <w:type w:val="continuous"/>
          <w:pgSz w:w="12240" w:h="15840" w:code="1"/>
          <w:pgMar w:top="1440" w:right="1440" w:bottom="1440" w:left="1440" w:header="706" w:footer="706" w:gutter="0"/>
          <w:cols w:space="708"/>
          <w:docGrid w:linePitch="360"/>
        </w:sectPr>
      </w:pPr>
    </w:p>
    <w:p w:rsidR="00E5538A" w:rsidRDefault="00E5538A" w:rsidP="007137CC">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b/>
          <w:sz w:val="26"/>
          <w:szCs w:val="26"/>
        </w:rPr>
        <w:lastRenderedPageBreak/>
        <w:t>Introduction</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Education generally and university education particularly, is an indispensable tool for economic advancement. It has been empirically proven and universally acknowledged that unless the citizens of a given country are well educated and appropriately trained, the achievements of rapid economic and social development cannot be guaranteed (Ahmed, 2013). It is a common knowledge that the world over, universities are enterprise that produce and distribute public good, which is knowledge. As asserted by Babalola (1998) the production of knowledge by universities has always focused on teaching, learning and research. Hence, it is believed that university education is a major investment requiring a huge amount of financial resources (</w:t>
      </w:r>
      <w:r w:rsidRPr="00210BD3">
        <w:rPr>
          <w:rFonts w:ascii="Times New Roman" w:hAnsi="Times New Roman" w:cs="Times New Roman"/>
          <w:color w:val="222222"/>
          <w:sz w:val="26"/>
          <w:szCs w:val="26"/>
          <w:shd w:val="clear" w:color="auto" w:fill="FFFFFF"/>
        </w:rPr>
        <w:t>Ekeatte, Akeke &amp; Ekpenyong, 2019).</w:t>
      </w:r>
      <w:r w:rsidRPr="00210BD3">
        <w:rPr>
          <w:rFonts w:ascii="Times New Roman" w:hAnsi="Times New Roman" w:cs="Times New Roman"/>
          <w:sz w:val="26"/>
          <w:szCs w:val="26"/>
        </w:rPr>
        <w:t xml:space="preserve"> Thus, funds allocated to university education are said to be long term investments which are of immense benefits for both to the individual and to society. Government funding is the primary source of funds for universities in Nigeria. However, this not sustainable strategy from long term development of universities considering the high demand for public funds from other social sectors since the government in Nigeria cannot bear the full burden of funding university education (Ahmed 2013).  In a separate submission, cost-sharing strategy has been considered recently as one of the most convenient and a good method of financing university education worldwide (Obasi &amp; Eboh, 2002; Simbowale, 2003).</w:t>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            The development of education in any given society is either hampered or boosted by a variety of factors. Some of </w:t>
      </w:r>
      <w:r w:rsidRPr="00210BD3">
        <w:rPr>
          <w:rFonts w:ascii="Times New Roman" w:hAnsi="Times New Roman" w:cs="Times New Roman"/>
          <w:sz w:val="26"/>
          <w:szCs w:val="26"/>
        </w:rPr>
        <w:lastRenderedPageBreak/>
        <w:t>the factors responsible for the retarded pace of educational development in Nigeria may include poor funding, brain drain among teachers, poor infrastructures, unstable curriculum and subject, unstable staff, politicization of education, just to mention a few (Ahmed &amp; Adepoju, 2013). The problem of university education financing in Nigeria seems to be hinged more on the lack of commitment on the part of the government to provide quality education to its citizens, which is evident in the last 10 years in Nigeria (</w:t>
      </w:r>
      <w:r w:rsidRPr="00210BD3">
        <w:rPr>
          <w:rFonts w:ascii="Times New Roman" w:hAnsi="Times New Roman" w:cs="Times New Roman"/>
          <w:color w:val="222222"/>
          <w:sz w:val="26"/>
          <w:szCs w:val="26"/>
          <w:shd w:val="clear" w:color="auto" w:fill="FFFFFF"/>
        </w:rPr>
        <w:t xml:space="preserve">Chinyere &amp; Goodluck, 2015; </w:t>
      </w:r>
      <w:r w:rsidRPr="00210BD3">
        <w:rPr>
          <w:rFonts w:ascii="Times New Roman" w:hAnsi="Times New Roman" w:cs="Times New Roman"/>
          <w:sz w:val="26"/>
          <w:szCs w:val="26"/>
        </w:rPr>
        <w:t>Ehi, 2021). The total number of students’ enrolment tripled while public resource allocated to the education sector continued to decline from 11.5 percent in 2002 to 8.7 percent of the total government expenditure in 2013 (Ahmed, 2013). Since a wide array of other sectors of the system competes for the scarce resources available to government, universities have often been very poorly funded in Nigeria (</w:t>
      </w:r>
      <w:r w:rsidRPr="00210BD3">
        <w:rPr>
          <w:rFonts w:ascii="Times New Roman" w:hAnsi="Times New Roman" w:cs="Times New Roman"/>
          <w:color w:val="222222"/>
          <w:sz w:val="26"/>
          <w:szCs w:val="26"/>
          <w:shd w:val="clear" w:color="auto" w:fill="FFFFFF"/>
        </w:rPr>
        <w:t xml:space="preserve">Ekpoh &amp; Okpa, 2017; </w:t>
      </w:r>
      <w:r w:rsidRPr="00210BD3">
        <w:rPr>
          <w:rFonts w:ascii="Times New Roman" w:hAnsi="Times New Roman" w:cs="Times New Roman"/>
          <w:sz w:val="26"/>
          <w:szCs w:val="26"/>
        </w:rPr>
        <w:t>Okojie, 2007; Ipaye, 2007; Ahmed &amp; Adepoju, 2013).</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Underfunding of universities in Nigeria has become a reoccurring decimal, often times resulting into strikes and closures of the ivory towers (Ayo-Sobowale &amp; Akinyemi, 2011). The fact that these problems are yet to be tackled by the government emphasizes the need for universities to evolve strategies for generating additional funds for their internal efficiency. Federal Government directed through the National Universities Commission (N.U.C.) that all Federal Universities should generate 10 percent of their total yearly funds internally through various revenue diversification means (Ayo-Sobowale </w:t>
      </w:r>
      <w:r w:rsidRPr="00210BD3">
        <w:rPr>
          <w:rFonts w:ascii="Times New Roman" w:hAnsi="Times New Roman" w:cs="Times New Roman"/>
          <w:sz w:val="26"/>
          <w:szCs w:val="26"/>
        </w:rPr>
        <w:lastRenderedPageBreak/>
        <w:t xml:space="preserve">&amp;Akinyemi, 2011). This means that the pursuit of quality university education may depend on the contributions of stakeholders-the government, parents, individuals, firms and corporate bodies (employers of labour). Therefore, the researchers are prompted to examine how university education cost can be shared among the stakeholders towards sustainable development of Nigeria.  </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Education is an important key for achieving a sustainable national development, and that for a state or society to achieve a sustainable national development, the quality of its education must be improved (Abubakar, 2013). Nwachukwu</w:t>
      </w:r>
      <w:r w:rsidRPr="00210BD3">
        <w:rPr>
          <w:rFonts w:ascii="Times New Roman" w:hAnsi="Times New Roman" w:cs="Times New Roman"/>
          <w:bCs/>
          <w:sz w:val="26"/>
          <w:szCs w:val="26"/>
        </w:rPr>
        <w:t xml:space="preserve"> (2014) investigated funding Education for Sustainable Development in Nigeria, with emphasis on challenges and the way forward, and established that f</w:t>
      </w:r>
      <w:r w:rsidRPr="00210BD3">
        <w:rPr>
          <w:rFonts w:ascii="Times New Roman" w:hAnsi="Times New Roman" w:cs="Times New Roman"/>
          <w:sz w:val="26"/>
          <w:szCs w:val="26"/>
        </w:rPr>
        <w:t xml:space="preserve">unding education for sustainable development means devising sustainable options for funding education, for sustainable educational development in Nigeria. This researcher found that regular contributions from communities, state, large companies and regular financial support from international organizations were capable of bringing about sustainable educational development in Nigeria, thus the private sector was encouraged to invest in and operate the provision of education based on market demand and supply framework. </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The most interesting aspect of sustainable development is the fact that it addresses consideration the present conditions of people as well as not compromising those that come later. Therefore, the concept of sustainable national Development remains the modern parameter of measuring </w:t>
      </w:r>
      <w:r w:rsidRPr="00210BD3">
        <w:rPr>
          <w:rFonts w:ascii="Times New Roman" w:hAnsi="Times New Roman" w:cs="Times New Roman"/>
          <w:sz w:val="26"/>
          <w:szCs w:val="26"/>
        </w:rPr>
        <w:lastRenderedPageBreak/>
        <w:t>development. The Bruntland Commission (1987) argued that sustainable Development is the development that meets the needs of the present without compromising the ability of the future generations to meet their own needs. Furthermore, Munasinghe (2004) submitted that sustainable national Development is a process of improving the range of opportunities that will enable individual humans and communities to achieve their aspirations and full potential over a sustained period of time while maintaining the resilience of economic, social and environmental systems. Age (2005) identified some objectives which sustainable national development is expected to realize to include: increase capital income and employment, promoting human welfare, satisfying basic human needs and protecting the environment.  This researcher added that, considering the path of future generation, achieving equity between rich and poor and participation on a broad basis in development and decision making is important. From the foregoing, sustainable development may mean prioritizing the development of the present generation without compromising the future generation. Munasinghe (2004) noted that sustainable national development is a process of improving the range of opportunities that will enable individual humans and communities to achieve their aspirations and full potential over a sustained period of time while maintaining the resilience of economic, social and environmental systems.</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  Sustainable national development has the potential to offer </w:t>
      </w:r>
      <w:r w:rsidRPr="00210BD3">
        <w:rPr>
          <w:rFonts w:ascii="Times New Roman" w:hAnsi="Times New Roman" w:cs="Times New Roman"/>
          <w:sz w:val="26"/>
          <w:szCs w:val="26"/>
        </w:rPr>
        <w:lastRenderedPageBreak/>
        <w:t xml:space="preserve">humanity the recipe to tackle all or most of the development challenges confronting Nigeria today, if concerted efforts are made at different levels – international, national, regional, local, institutional and individual – to make its implementation a priority. However, it is pertinent to point out that the fundamental and overriding success factor in the implementation of sustainability development is high quality human capital, and this is the responsibility of the university education system. </w:t>
      </w:r>
      <w:r w:rsidRPr="00210BD3">
        <w:rPr>
          <w:rFonts w:ascii="Times New Roman" w:hAnsi="Times New Roman" w:cs="Times New Roman"/>
          <w:bCs/>
          <w:sz w:val="26"/>
          <w:szCs w:val="26"/>
        </w:rPr>
        <w:t>Tilak (2004)</w:t>
      </w:r>
      <w:r w:rsidRPr="00210BD3">
        <w:rPr>
          <w:rFonts w:ascii="Times New Roman" w:hAnsi="Times New Roman" w:cs="Times New Roman"/>
          <w:sz w:val="26"/>
          <w:szCs w:val="26"/>
        </w:rPr>
        <w:t xml:space="preserve"> stressed that a strong and sustainable higher education system is necessary to serve itself as development, as ‘freedom’, as a ‘capability’, as a human right, and as human development, as a key dimension of sustainable development - as an end, and as a means of sustainable development from economic, social, cultural, and political points of view. According to him, Higher education is an essential tool for achieving a sustainable future, through the development of quality and adequate human resources. This implies attaining sustainable development means having a functional university system whose responsibility is to develop the requisite human force to fast track and sustain the development of the society.</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bCs/>
          <w:sz w:val="26"/>
          <w:szCs w:val="26"/>
        </w:rPr>
        <w:t>Further, Adeniyi and Taiwo (2011) in their study asserted that c</w:t>
      </w:r>
      <w:r w:rsidRPr="00210BD3">
        <w:rPr>
          <w:rFonts w:ascii="Times New Roman" w:hAnsi="Times New Roman" w:cs="Times New Roman"/>
          <w:sz w:val="26"/>
          <w:szCs w:val="26"/>
        </w:rPr>
        <w:t xml:space="preserve">ost sharing is a fundamental issue in financing higher education that has lately been gaining increasing media attention. Their study reported on a survey of 600 students, 152 lecturers and 151 parents across three states in South West Nigeria. The study was conducted using a 42 items questionnaire with a reliability </w:t>
      </w:r>
      <w:r w:rsidRPr="00210BD3">
        <w:rPr>
          <w:rFonts w:ascii="Times New Roman" w:hAnsi="Times New Roman" w:cs="Times New Roman"/>
          <w:sz w:val="26"/>
          <w:szCs w:val="26"/>
        </w:rPr>
        <w:lastRenderedPageBreak/>
        <w:t xml:space="preserve">coefficient of 0.83 focusing on four selected major areas of cost sharing: Financial status of higher education; theory of cost-sharing; tuition fees and students loans. The aim of the study was to investigate the extent to which perceptions of cost sharing are shared among lecturers, students and parents, as preliminary steps toward developing effective strategies to deal with the problem of underfunding higher education institutions. The study answered four research questions. The findings revealed considerable divergence opinions among lecturers, students and parents in terms of perceptions of four components identified for the study. </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Cost sharing is generally thought of as the introduction of, or especially sharp increase in, tuition fees to cover part of the costs of instruction, or of user charges to cover more of the costs of lodging, food and other expenses of student living within the campuses that may have hitherto been borne substantially by governments (taxpayers) or institutions (Johnstone, 2003). The concept of cost-sharing begins with an assumption that, the costs of higher education in all countries and in all situations can be viewed as emanating from four principal parties – the government (or taxpayers); parents; students; and/or individual or institutional donors (Johnstone, 2000).</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Parental contribution is based on the principle that parents have an obligation to share in the expenses associated with their children’s higher education, at least to the limit of their financial ability, while students should also contribute since they derive </w:t>
      </w:r>
      <w:r w:rsidRPr="00210BD3">
        <w:rPr>
          <w:rFonts w:ascii="Times New Roman" w:hAnsi="Times New Roman" w:cs="Times New Roman"/>
          <w:sz w:val="26"/>
          <w:szCs w:val="26"/>
        </w:rPr>
        <w:lastRenderedPageBreak/>
        <w:t>substantial personal and private benefits from the higher education (Marcucci, Johnstone, &amp; Ngolovoi, 2008; Okuwa, 2004; Ziderman &amp; Albrecht, 1995). Johnstone (2000) gave four factors that may compel the introduction of cost sharing – (1) when higher education is still partaken of by relatively few; (2) when those relatively few are predominantly from upper middle or upper classes; (3) when the taxes that the government uses in support of the so called free higher education come from relatively proportional on sales of businesses or from the printing of money and (4) when the provision of need-based or mean-tested grants are generally available or loans is limited.</w:t>
      </w:r>
    </w:p>
    <w:p w:rsidR="006D1F09" w:rsidRPr="00210BD3" w:rsidRDefault="006D1F09" w:rsidP="007137CC">
      <w:pPr>
        <w:pStyle w:val="Default"/>
        <w:ind w:firstLine="720"/>
        <w:jc w:val="both"/>
        <w:rPr>
          <w:iCs/>
          <w:sz w:val="26"/>
          <w:szCs w:val="26"/>
        </w:rPr>
      </w:pPr>
      <w:r w:rsidRPr="00210BD3">
        <w:rPr>
          <w:sz w:val="26"/>
          <w:szCs w:val="26"/>
        </w:rPr>
        <w:t>Again, Ogbogu (2011)</w:t>
      </w:r>
      <w:r w:rsidRPr="00210BD3">
        <w:rPr>
          <w:iCs/>
          <w:sz w:val="26"/>
          <w:szCs w:val="26"/>
        </w:rPr>
        <w:t xml:space="preserve"> examined the modes of funding Nigerian universities with a view to assessing their adequacy and effectiveness. The implications of the mechanisms of funding on university performance were investigated. The history of university funding in Nigeria was explored in order to determine the causes of shift in financing the system since 1948 when the first university was established. The study revealed that the costs of financing universities including: costs of teaching, research and administration, cost of accommodating increased enrollments, expenses of student maintenance, payment of staff entitlement/salaries and maintenance of facilities are increasing in excess of the corresponding rates of available revenues. The divergence in the trajectories of total university educational cost, the total available revenue and government subvention has led to capacity constraints of universities. This is evident in poor quality of </w:t>
      </w:r>
      <w:r w:rsidRPr="00210BD3">
        <w:rPr>
          <w:iCs/>
          <w:sz w:val="26"/>
          <w:szCs w:val="26"/>
        </w:rPr>
        <w:lastRenderedPageBreak/>
        <w:t xml:space="preserve">teaching and research, poor conditions of work and insufficient attention to staff development, amongst others. The study found that the changing patterns in funding of universities are responses to the social and economic depression of the country, globalization, country’s desire to be integrated into the modern knowledge economy and increased enrollment without adequate planning. </w:t>
      </w:r>
    </w:p>
    <w:p w:rsidR="006D1F09" w:rsidRPr="00210BD3" w:rsidRDefault="006D1F09" w:rsidP="007137CC">
      <w:pPr>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bCs/>
          <w:iCs/>
          <w:sz w:val="26"/>
          <w:szCs w:val="26"/>
        </w:rPr>
        <w:t>Also, Sani (2015) from his study on</w:t>
      </w:r>
      <w:r w:rsidRPr="00210BD3">
        <w:rPr>
          <w:rFonts w:ascii="Times New Roman" w:hAnsi="Times New Roman" w:cs="Times New Roman"/>
          <w:bCs/>
          <w:sz w:val="26"/>
          <w:szCs w:val="26"/>
        </w:rPr>
        <w:t xml:space="preserve"> public and private higher education financing in Nigeria</w:t>
      </w:r>
      <w:r w:rsidRPr="00210BD3">
        <w:rPr>
          <w:rFonts w:ascii="Times New Roman" w:hAnsi="Times New Roman" w:cs="Times New Roman"/>
          <w:sz w:val="26"/>
          <w:szCs w:val="26"/>
        </w:rPr>
        <w:t xml:space="preserve">, pointed out that the demand for higher education is so high because education has been considered as not only an investment in human capital, but also a pre-requisite for economic and sustainable national development. The major source of fund to universities in Nigeria is the government providing about 90% of the total expenditure. Universities in Nigeria require a significant amount of funds to achieve their goals and objective, however, funds allocated to university education in Nigeria continue to be inadequate with the attendant effects of negative influences on the university system. The objective of the paper is to examine the present financial status of the universities to establish whether there is adequacy or inadequacy of funds to universities in Nigeria. The analysis is based on a secondary data and covers 2010-2011academic session and both descriptive and inferential statistic were used. The result reveals that university education is still not adequately funded to meet up with the international benchmark and best practice. The paper concludes that both private and public universities should intensify effort in revenue generation and also they should </w:t>
      </w:r>
      <w:r w:rsidRPr="00210BD3">
        <w:rPr>
          <w:rFonts w:ascii="Times New Roman" w:hAnsi="Times New Roman" w:cs="Times New Roman"/>
          <w:sz w:val="26"/>
          <w:szCs w:val="26"/>
        </w:rPr>
        <w:lastRenderedPageBreak/>
        <w:t xml:space="preserve">efficiently utilize the little resources available to them.  </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b/>
          <w:sz w:val="26"/>
          <w:szCs w:val="26"/>
        </w:rPr>
      </w:pPr>
      <w:r w:rsidRPr="00210BD3">
        <w:rPr>
          <w:rFonts w:ascii="Times New Roman" w:hAnsi="Times New Roman" w:cs="Times New Roman"/>
          <w:sz w:val="26"/>
          <w:szCs w:val="26"/>
        </w:rPr>
        <w:t>Notably, Ziderman (2002) argued that for cost sharing to work as its proponents argued it can, it requires both need-based, or mean-tested grants (in order to make up for the presumably missing parental contribution from those parents too poor to contribute), as well as loans for students to borrow against their future (presumably greater) earnings. The burden of funding university education cannot be left to the government alone, hence the need to evolve an alternative means of financing the university education system. A sustainable national development is a collective responsibility of all stakeholders: parents, students, and various corporate bodies. Arising from the foregoing, the need to investigate cost-sharing as an entirely new approach to financing university education and sustainable national development become imperative.</w:t>
      </w:r>
    </w:p>
    <w:p w:rsidR="006D1F09" w:rsidRPr="00210BD3" w:rsidRDefault="006D1F09" w:rsidP="007137CC">
      <w:pPr>
        <w:autoSpaceDE w:val="0"/>
        <w:autoSpaceDN w:val="0"/>
        <w:adjustRightInd w:val="0"/>
        <w:spacing w:after="0" w:line="240" w:lineRule="auto"/>
        <w:jc w:val="both"/>
        <w:rPr>
          <w:rFonts w:ascii="Times New Roman" w:hAnsi="Times New Roman" w:cs="Times New Roman"/>
          <w:color w:val="222222"/>
          <w:sz w:val="26"/>
          <w:szCs w:val="26"/>
          <w:shd w:val="clear" w:color="auto" w:fill="FFFFFF"/>
        </w:rPr>
      </w:pPr>
      <w:r w:rsidRPr="00210BD3">
        <w:rPr>
          <w:rFonts w:ascii="Times New Roman" w:hAnsi="Times New Roman" w:cs="Times New Roman"/>
          <w:sz w:val="26"/>
          <w:szCs w:val="26"/>
        </w:rPr>
        <w:t xml:space="preserve">            One of the emerging issues confronting society all over the world is how to attain sustainable national development. Sustainable national development is attainable when citizens enjoy their lives fully in the present as well as in the future; the social, economic, political and cultural well-being of the people are maximized in theory and practice; when there is low level of poverty, high level of employment, low mortality rate occasioned by improved healthcare standard and people are able to live peacefully in the society; and in overall, when there is sustained growth and progress in industrial productivity (</w:t>
      </w:r>
      <w:r w:rsidRPr="00210BD3">
        <w:rPr>
          <w:rFonts w:ascii="Times New Roman" w:hAnsi="Times New Roman" w:cs="Times New Roman"/>
          <w:color w:val="222222"/>
          <w:sz w:val="26"/>
          <w:szCs w:val="26"/>
          <w:shd w:val="clear" w:color="auto" w:fill="FFFFFF"/>
        </w:rPr>
        <w:t xml:space="preserve">Ciegis, Ramanauskiene &amp; Startiene, </w:t>
      </w:r>
      <w:r w:rsidRPr="00210BD3">
        <w:rPr>
          <w:rFonts w:ascii="Times New Roman" w:hAnsi="Times New Roman" w:cs="Times New Roman"/>
          <w:color w:val="222222"/>
          <w:sz w:val="26"/>
          <w:szCs w:val="26"/>
          <w:shd w:val="clear" w:color="auto" w:fill="FFFFFF"/>
        </w:rPr>
        <w:lastRenderedPageBreak/>
        <w:t xml:space="preserve">2009; Frugoli, Almeida, Agostinho, Giannetti &amp; Huisingh, 2015;  Kharazishvili, Kwilinski, Grishnova &amp; Dzwigol, 2020; Lemke &amp; Bastini, 2020; Schlör, Fischer &amp; Hake, 2013). </w:t>
      </w:r>
      <w:r w:rsidRPr="00210BD3">
        <w:rPr>
          <w:rFonts w:ascii="Times New Roman" w:hAnsi="Times New Roman" w:cs="Times New Roman"/>
          <w:sz w:val="26"/>
          <w:szCs w:val="26"/>
        </w:rPr>
        <w:t xml:space="preserve"> However, it is pertinent to point out that the fundamental and overriding success factor in the attainment of sustainability national development is high quality human capital development, and this is the responsibility of the university education system. Research has shown that funding higher education means contributing the sustainable national development in society (</w:t>
      </w:r>
      <w:r w:rsidRPr="00210BD3">
        <w:rPr>
          <w:rFonts w:ascii="Times New Roman" w:hAnsi="Times New Roman" w:cs="Times New Roman"/>
          <w:color w:val="222222"/>
          <w:sz w:val="26"/>
          <w:szCs w:val="26"/>
          <w:shd w:val="clear" w:color="auto" w:fill="FFFFFF"/>
        </w:rPr>
        <w:t xml:space="preserve">Ashida, 2022; </w:t>
      </w:r>
      <w:r w:rsidRPr="00210BD3">
        <w:rPr>
          <w:rFonts w:ascii="Times New Roman" w:hAnsi="Times New Roman" w:cs="Times New Roman"/>
          <w:color w:val="333333"/>
          <w:sz w:val="26"/>
          <w:szCs w:val="26"/>
          <w:shd w:val="clear" w:color="auto" w:fill="FCFCFC"/>
        </w:rPr>
        <w:t xml:space="preserve">Chankseliani &amp; McCowan, 2021; </w:t>
      </w:r>
      <w:r w:rsidRPr="00210BD3">
        <w:rPr>
          <w:rFonts w:ascii="Times New Roman" w:hAnsi="Times New Roman" w:cs="Times New Roman"/>
          <w:color w:val="222222"/>
          <w:sz w:val="26"/>
          <w:szCs w:val="26"/>
          <w:shd w:val="clear" w:color="auto" w:fill="FFFFFF"/>
        </w:rPr>
        <w:t xml:space="preserve">Žalėnienė &amp; Pereira, 2021). Thus, in this study, the contributions of parents and cooperate bodies/companies in funding university education was assumed to be their contributions to national development. </w:t>
      </w:r>
    </w:p>
    <w:p w:rsidR="006D1F09" w:rsidRPr="00210BD3" w:rsidRDefault="006D1F09"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In Akwa Ibom and Cross River States, the structural characteristic of the higher education system and the pattern of funding seem to give rise to many challenges especially in the area of infrastructural provision, which has overtime led to poor delivery of university education in the states, which may partly explain the low level of sustainable development as expressed by high level of poverty, unemployment and the increasing rates of social upheavals among youths in the states (Eteng &amp; Anam, 2019; Nwakanma &amp; Igbe, 2020). The issue of cost-sharing in funding university education seems to be a fundamental problem confronting the effective delivery of university education in South-South Nigeria including Akwa Ibom and Cross River States (</w:t>
      </w:r>
      <w:r w:rsidRPr="00210BD3">
        <w:rPr>
          <w:rFonts w:ascii="Times New Roman" w:hAnsi="Times New Roman" w:cs="Times New Roman"/>
          <w:color w:val="222222"/>
          <w:sz w:val="26"/>
          <w:szCs w:val="26"/>
          <w:shd w:val="clear" w:color="auto" w:fill="FFFFFF"/>
        </w:rPr>
        <w:t>Ekpoh &amp; Okpa, 2017).</w:t>
      </w:r>
      <w:r w:rsidRPr="00210BD3">
        <w:rPr>
          <w:rFonts w:ascii="Times New Roman" w:hAnsi="Times New Roman" w:cs="Times New Roman"/>
          <w:sz w:val="26"/>
          <w:szCs w:val="26"/>
        </w:rPr>
        <w:t xml:space="preserve">). The growing inability of </w:t>
      </w:r>
      <w:r w:rsidRPr="00210BD3">
        <w:rPr>
          <w:rFonts w:ascii="Times New Roman" w:hAnsi="Times New Roman" w:cs="Times New Roman"/>
          <w:sz w:val="26"/>
          <w:szCs w:val="26"/>
        </w:rPr>
        <w:lastRenderedPageBreak/>
        <w:t xml:space="preserve">the parents and other private organization to adequately contribute to financing universities has been a regular problem to the delivery of university education in the States. Given that effective financing of university education is a determining factor of quality manpower development, which is a key factor in sustainable national development, it becomes necessary to examine cost-sharing approach to financing university education for sustainable national development. </w:t>
      </w: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Objectives of the study</w:t>
      </w:r>
    </w:p>
    <w:p w:rsidR="006D1F09" w:rsidRPr="00210BD3" w:rsidRDefault="00DF5FAC" w:rsidP="007137CC">
      <w:pPr>
        <w:tabs>
          <w:tab w:val="left" w:pos="540"/>
        </w:tabs>
        <w:autoSpaceDE w:val="0"/>
        <w:autoSpaceDN w:val="0"/>
        <w:adjustRightInd w:val="0"/>
        <w:spacing w:after="0" w:line="240" w:lineRule="auto"/>
        <w:ind w:hanging="540"/>
        <w:jc w:val="both"/>
        <w:rPr>
          <w:rFonts w:ascii="Times New Roman" w:hAnsi="Times New Roman" w:cs="Times New Roman"/>
          <w:sz w:val="26"/>
          <w:szCs w:val="26"/>
        </w:rPr>
      </w:pPr>
      <w:r>
        <w:rPr>
          <w:rFonts w:ascii="Times New Roman" w:hAnsi="Times New Roman" w:cs="Times New Roman"/>
          <w:sz w:val="26"/>
          <w:szCs w:val="26"/>
        </w:rPr>
        <w:t xml:space="preserve">1. </w:t>
      </w:r>
      <w:r w:rsidR="006D1F09" w:rsidRPr="00210BD3">
        <w:rPr>
          <w:rFonts w:ascii="Times New Roman" w:hAnsi="Times New Roman" w:cs="Times New Roman"/>
          <w:sz w:val="26"/>
          <w:szCs w:val="26"/>
        </w:rPr>
        <w:t xml:space="preserve">Determined the contributions of parents to university education for sustainable national development </w:t>
      </w:r>
    </w:p>
    <w:p w:rsidR="006D1F09" w:rsidRPr="00210BD3" w:rsidRDefault="00331FCE" w:rsidP="007137CC">
      <w:pPr>
        <w:tabs>
          <w:tab w:val="left" w:pos="540"/>
        </w:tabs>
        <w:autoSpaceDE w:val="0"/>
        <w:autoSpaceDN w:val="0"/>
        <w:adjustRightInd w:val="0"/>
        <w:spacing w:after="0" w:line="240" w:lineRule="auto"/>
        <w:ind w:hanging="540"/>
        <w:jc w:val="both"/>
        <w:rPr>
          <w:rFonts w:ascii="Times New Roman" w:hAnsi="Times New Roman" w:cs="Times New Roman"/>
          <w:b/>
          <w:sz w:val="26"/>
          <w:szCs w:val="26"/>
        </w:rPr>
      </w:pPr>
      <w:r>
        <w:rPr>
          <w:rFonts w:ascii="Times New Roman" w:hAnsi="Times New Roman" w:cs="Times New Roman"/>
          <w:sz w:val="26"/>
          <w:szCs w:val="26"/>
        </w:rPr>
        <w:t>2.</w:t>
      </w:r>
      <w:r>
        <w:rPr>
          <w:rFonts w:ascii="Times New Roman" w:hAnsi="Times New Roman" w:cs="Times New Roman"/>
          <w:sz w:val="26"/>
          <w:szCs w:val="26"/>
        </w:rPr>
        <w:tab/>
      </w:r>
      <w:r w:rsidR="006D1F09" w:rsidRPr="00210BD3">
        <w:rPr>
          <w:rFonts w:ascii="Times New Roman" w:hAnsi="Times New Roman" w:cs="Times New Roman"/>
          <w:sz w:val="26"/>
          <w:szCs w:val="26"/>
        </w:rPr>
        <w:t>Determined the contributions of corporate bodies/companies to university education for sustainable national development</w:t>
      </w:r>
    </w:p>
    <w:p w:rsidR="006D1F09" w:rsidRPr="00DF5FAC" w:rsidRDefault="006D1F09" w:rsidP="007137CC">
      <w:pPr>
        <w:tabs>
          <w:tab w:val="left" w:pos="270"/>
        </w:tabs>
        <w:autoSpaceDE w:val="0"/>
        <w:autoSpaceDN w:val="0"/>
        <w:adjustRightInd w:val="0"/>
        <w:spacing w:after="0" w:line="240" w:lineRule="auto"/>
        <w:ind w:hanging="630"/>
        <w:jc w:val="both"/>
        <w:rPr>
          <w:rFonts w:ascii="Times New Roman" w:hAnsi="Times New Roman" w:cs="Times New Roman"/>
          <w:b/>
          <w:sz w:val="16"/>
          <w:szCs w:val="26"/>
        </w:rPr>
      </w:pPr>
    </w:p>
    <w:p w:rsidR="006D1F09" w:rsidRPr="00210BD3" w:rsidRDefault="00DF5FAC" w:rsidP="007137CC">
      <w:pPr>
        <w:tabs>
          <w:tab w:val="left" w:pos="270"/>
        </w:tabs>
        <w:autoSpaceDE w:val="0"/>
        <w:autoSpaceDN w:val="0"/>
        <w:adjustRightInd w:val="0"/>
        <w:spacing w:after="0" w:line="240" w:lineRule="auto"/>
        <w:ind w:hanging="630"/>
        <w:jc w:val="both"/>
        <w:rPr>
          <w:rFonts w:ascii="Times New Roman" w:hAnsi="Times New Roman" w:cs="Times New Roman"/>
          <w:b/>
          <w:sz w:val="26"/>
          <w:szCs w:val="26"/>
        </w:rPr>
      </w:pPr>
      <w:r>
        <w:rPr>
          <w:rFonts w:ascii="Times New Roman" w:hAnsi="Times New Roman" w:cs="Times New Roman"/>
          <w:b/>
          <w:sz w:val="26"/>
          <w:szCs w:val="26"/>
        </w:rPr>
        <w:tab/>
      </w:r>
      <w:r w:rsidR="006D1F09" w:rsidRPr="00210BD3">
        <w:rPr>
          <w:rFonts w:ascii="Times New Roman" w:hAnsi="Times New Roman" w:cs="Times New Roman"/>
          <w:b/>
          <w:sz w:val="26"/>
          <w:szCs w:val="26"/>
        </w:rPr>
        <w:t>Research questions</w:t>
      </w:r>
    </w:p>
    <w:p w:rsidR="006D1F09" w:rsidRPr="00210BD3" w:rsidRDefault="006D1F09" w:rsidP="007137CC">
      <w:pPr>
        <w:tabs>
          <w:tab w:val="left" w:pos="540"/>
        </w:tabs>
        <w:autoSpaceDE w:val="0"/>
        <w:autoSpaceDN w:val="0"/>
        <w:adjustRightInd w:val="0"/>
        <w:spacing w:after="0" w:line="240" w:lineRule="auto"/>
        <w:ind w:hanging="540"/>
        <w:jc w:val="both"/>
        <w:rPr>
          <w:rFonts w:ascii="Times New Roman" w:hAnsi="Times New Roman" w:cs="Times New Roman"/>
          <w:sz w:val="26"/>
          <w:szCs w:val="26"/>
        </w:rPr>
      </w:pPr>
      <w:r w:rsidRPr="00210BD3">
        <w:rPr>
          <w:rFonts w:ascii="Times New Roman" w:hAnsi="Times New Roman" w:cs="Times New Roman"/>
          <w:sz w:val="26"/>
          <w:szCs w:val="26"/>
        </w:rPr>
        <w:t xml:space="preserve">1. </w:t>
      </w:r>
      <w:r w:rsidR="00331FCE">
        <w:rPr>
          <w:rFonts w:ascii="Times New Roman" w:hAnsi="Times New Roman" w:cs="Times New Roman"/>
          <w:sz w:val="26"/>
          <w:szCs w:val="26"/>
        </w:rPr>
        <w:tab/>
      </w:r>
      <w:r w:rsidRPr="00210BD3">
        <w:rPr>
          <w:rFonts w:ascii="Times New Roman" w:hAnsi="Times New Roman" w:cs="Times New Roman"/>
          <w:sz w:val="26"/>
          <w:szCs w:val="26"/>
        </w:rPr>
        <w:t>To what extent do parents contribute to university education for sustainable national development?</w:t>
      </w:r>
    </w:p>
    <w:p w:rsidR="006D1F09" w:rsidRPr="00210BD3" w:rsidRDefault="006D1F09" w:rsidP="007137CC">
      <w:pPr>
        <w:tabs>
          <w:tab w:val="left" w:pos="540"/>
        </w:tabs>
        <w:autoSpaceDE w:val="0"/>
        <w:autoSpaceDN w:val="0"/>
        <w:adjustRightInd w:val="0"/>
        <w:spacing w:after="0" w:line="240" w:lineRule="auto"/>
        <w:ind w:hanging="540"/>
        <w:jc w:val="both"/>
        <w:rPr>
          <w:rFonts w:ascii="Times New Roman" w:hAnsi="Times New Roman" w:cs="Times New Roman"/>
          <w:sz w:val="26"/>
          <w:szCs w:val="26"/>
        </w:rPr>
      </w:pPr>
      <w:r w:rsidRPr="00210BD3">
        <w:rPr>
          <w:rFonts w:ascii="Times New Roman" w:hAnsi="Times New Roman" w:cs="Times New Roman"/>
          <w:sz w:val="26"/>
          <w:szCs w:val="26"/>
        </w:rPr>
        <w:t xml:space="preserve">2. </w:t>
      </w:r>
      <w:r w:rsidR="00DF5FAC">
        <w:rPr>
          <w:rFonts w:ascii="Times New Roman" w:hAnsi="Times New Roman" w:cs="Times New Roman"/>
          <w:sz w:val="26"/>
          <w:szCs w:val="26"/>
        </w:rPr>
        <w:tab/>
      </w:r>
      <w:r w:rsidRPr="00210BD3">
        <w:rPr>
          <w:rFonts w:ascii="Times New Roman" w:hAnsi="Times New Roman" w:cs="Times New Roman"/>
          <w:sz w:val="26"/>
          <w:szCs w:val="26"/>
        </w:rPr>
        <w:t>To what extent do corporate bodies/companies contribute to university education for sustainable national development?</w:t>
      </w:r>
    </w:p>
    <w:p w:rsidR="006B2306" w:rsidRPr="00210BD3" w:rsidRDefault="006B2306" w:rsidP="007137CC">
      <w:pPr>
        <w:tabs>
          <w:tab w:val="left" w:pos="270"/>
        </w:tabs>
        <w:autoSpaceDE w:val="0"/>
        <w:autoSpaceDN w:val="0"/>
        <w:adjustRightInd w:val="0"/>
        <w:spacing w:after="0" w:line="240" w:lineRule="auto"/>
        <w:ind w:hanging="360"/>
        <w:jc w:val="both"/>
        <w:rPr>
          <w:rFonts w:ascii="Times New Roman" w:hAnsi="Times New Roman" w:cs="Times New Roman"/>
          <w:b/>
          <w:sz w:val="26"/>
          <w:szCs w:val="26"/>
        </w:rPr>
      </w:pP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Statement of hypothesis</w:t>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There is no significant difference between the Mean scores of responses on contributions of parents and corporate bodies/companies to university education for sustainable national development </w:t>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Research methods</w:t>
      </w:r>
    </w:p>
    <w:p w:rsidR="006D1F09" w:rsidRPr="00210BD3" w:rsidRDefault="006D1F09"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The research design adopted for the study was ex-post-facto design. The </w:t>
      </w:r>
      <w:r w:rsidRPr="00210BD3">
        <w:rPr>
          <w:rFonts w:ascii="Times New Roman" w:hAnsi="Times New Roman" w:cs="Times New Roman"/>
          <w:sz w:val="26"/>
          <w:szCs w:val="26"/>
        </w:rPr>
        <w:lastRenderedPageBreak/>
        <w:t xml:space="preserve">population of the study comprised all academic staff in University of Uyo and University of Calabar. The sample of this study comprised 250 academic staff drawn from University of Calabar and University of Uyo using purposive sampling. The use of purposive sampling technique was occasioned by the need to select academic staff who have handled managerial responsibilities such as Deans of Faculties, Head of Departments, Director of Academic Planning, Director of Institutes, among other community services. The Cost-sharing Approach of Financing University Education for Sustainable National Development Questionnaire (CAFUESNDQ) was developed on a modified three-point Likert scale of High (H), moderate (M) and low (L) to gather the needed data for the work.  5 items were used to the contributions of parents and corporate bodies/companies to university education for national development. The items only measured contributions to university education, with the notion that the more university education is enhanced, the more the society attains sustainable national development. High was scored 3-points, Moderate was scored 2-points and Low was scored 1-point respectively. </w:t>
      </w:r>
      <w:r w:rsidRPr="00210BD3">
        <w:rPr>
          <w:rFonts w:ascii="Times New Roman" w:hAnsi="Times New Roman" w:cs="Times New Roman"/>
          <w:iCs/>
          <w:sz w:val="26"/>
          <w:szCs w:val="26"/>
        </w:rPr>
        <w:t xml:space="preserve">Data obtained from the respondents were collated and analyzed accordingly using SPSS version 21 statistical package. </w:t>
      </w:r>
      <w:r w:rsidRPr="00210BD3">
        <w:rPr>
          <w:rFonts w:ascii="Times New Roman" w:hAnsi="Times New Roman" w:cs="Times New Roman"/>
          <w:sz w:val="26"/>
          <w:szCs w:val="26"/>
        </w:rPr>
        <w:t>The two research questions were answered using simple percentage, mean and standard deviation. The hypothesis was tested using Paired-Sample t-test statistics at 0.05 levels of significance.</w:t>
      </w:r>
    </w:p>
    <w:p w:rsidR="00331FCE" w:rsidRDefault="00331FCE" w:rsidP="007137CC">
      <w:pPr>
        <w:spacing w:after="0" w:line="240" w:lineRule="auto"/>
        <w:jc w:val="both"/>
        <w:rPr>
          <w:rFonts w:ascii="Times New Roman" w:hAnsi="Times New Roman" w:cs="Times New Roman"/>
          <w:b/>
          <w:sz w:val="26"/>
          <w:szCs w:val="26"/>
        </w:rPr>
        <w:sectPr w:rsidR="00331FCE" w:rsidSect="00A75037">
          <w:type w:val="continuous"/>
          <w:pgSz w:w="12240" w:h="15840" w:code="1"/>
          <w:pgMar w:top="1440" w:right="1440" w:bottom="1440" w:left="1440" w:header="706" w:footer="706" w:gutter="0"/>
          <w:cols w:num="2" w:space="708"/>
          <w:docGrid w:linePitch="360"/>
        </w:sectPr>
      </w:pPr>
    </w:p>
    <w:p w:rsidR="006D1F09" w:rsidRPr="00210BD3" w:rsidRDefault="006D1F09"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lastRenderedPageBreak/>
        <w:t>Results</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Research question one</w:t>
      </w:r>
    </w:p>
    <w:p w:rsidR="006D1F09" w:rsidRPr="00210BD3" w:rsidRDefault="006D1F09" w:rsidP="007137CC">
      <w:pPr>
        <w:spacing w:after="0" w:line="240" w:lineRule="auto"/>
        <w:jc w:val="both"/>
        <w:rPr>
          <w:rFonts w:ascii="Times New Roman" w:hAnsi="Times New Roman" w:cs="Times New Roman"/>
          <w:sz w:val="26"/>
          <w:szCs w:val="26"/>
        </w:rPr>
      </w:pP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To what extent do parents contribute to university education for sustainable national development? The result is presented in Tables 1.</w:t>
      </w:r>
    </w:p>
    <w:p w:rsidR="006D1F09" w:rsidRPr="00210BD3" w:rsidRDefault="006D1F09" w:rsidP="007137CC">
      <w:pPr>
        <w:autoSpaceDE w:val="0"/>
        <w:autoSpaceDN w:val="0"/>
        <w:adjustRightInd w:val="0"/>
        <w:spacing w:after="0" w:line="240" w:lineRule="auto"/>
        <w:jc w:val="both"/>
        <w:rPr>
          <w:rFonts w:ascii="Times New Roman" w:hAnsi="Times New Roman" w:cs="Times New Roman"/>
          <w:b/>
          <w:sz w:val="26"/>
          <w:szCs w:val="26"/>
        </w:rPr>
      </w:pPr>
    </w:p>
    <w:p w:rsidR="006D1F09" w:rsidRPr="00210BD3" w:rsidRDefault="006D1F09" w:rsidP="007137CC">
      <w:pPr>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t>TABLE1:The mean and standard Deviation of the responses on the extent of parents contributions to university education for sustainable national development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661"/>
        <w:gridCol w:w="2231"/>
        <w:gridCol w:w="1235"/>
        <w:gridCol w:w="1366"/>
        <w:gridCol w:w="1361"/>
        <w:gridCol w:w="1361"/>
        <w:gridCol w:w="1361"/>
      </w:tblGrid>
      <w:tr w:rsidR="006D1F09" w:rsidRPr="00210BD3" w:rsidTr="006D610E">
        <w:tc>
          <w:tcPr>
            <w:tcW w:w="662"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S/N</w:t>
            </w:r>
          </w:p>
        </w:tc>
        <w:tc>
          <w:tcPr>
            <w:tcW w:w="2236"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Items</w:t>
            </w:r>
          </w:p>
        </w:tc>
        <w:tc>
          <w:tcPr>
            <w:tcW w:w="1215"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High (%)</w:t>
            </w:r>
          </w:p>
        </w:tc>
        <w:tc>
          <w:tcPr>
            <w:tcW w:w="1367"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Moderate (%)</w:t>
            </w:r>
          </w:p>
        </w:tc>
        <w:tc>
          <w:tcPr>
            <w:tcW w:w="1365"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Low (%)</w:t>
            </w:r>
          </w:p>
        </w:tc>
        <w:tc>
          <w:tcPr>
            <w:tcW w:w="1365"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Mean</w:t>
            </w:r>
          </w:p>
        </w:tc>
        <w:tc>
          <w:tcPr>
            <w:tcW w:w="1366"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Std. Dev.</w:t>
            </w:r>
          </w:p>
        </w:tc>
      </w:tr>
      <w:tr w:rsidR="006D1F09" w:rsidRPr="00210BD3" w:rsidTr="006D610E">
        <w:tc>
          <w:tcPr>
            <w:tcW w:w="662"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w:t>
            </w:r>
          </w:p>
        </w:tc>
        <w:tc>
          <w:tcPr>
            <w:tcW w:w="2236"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school charges</w:t>
            </w:r>
          </w:p>
        </w:tc>
        <w:tc>
          <w:tcPr>
            <w:tcW w:w="1215"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148(59.2)</w:t>
            </w:r>
          </w:p>
        </w:tc>
        <w:tc>
          <w:tcPr>
            <w:tcW w:w="1367"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100 (40)</w:t>
            </w:r>
          </w:p>
        </w:tc>
        <w:tc>
          <w:tcPr>
            <w:tcW w:w="1365"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 (0.8)</w:t>
            </w:r>
          </w:p>
        </w:tc>
        <w:tc>
          <w:tcPr>
            <w:tcW w:w="1365"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2.58</w:t>
            </w:r>
          </w:p>
        </w:tc>
        <w:tc>
          <w:tcPr>
            <w:tcW w:w="1366"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0.51</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w:t>
            </w:r>
          </w:p>
        </w:tc>
        <w:tc>
          <w:tcPr>
            <w:tcW w:w="223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donations</w:t>
            </w:r>
          </w:p>
        </w:tc>
        <w:tc>
          <w:tcPr>
            <w:tcW w:w="121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12 (4.8)</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112 (44.8)</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126 (50.4)</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1.54</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0.58</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3</w:t>
            </w:r>
          </w:p>
        </w:tc>
        <w:tc>
          <w:tcPr>
            <w:tcW w:w="223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registration</w:t>
            </w:r>
          </w:p>
        </w:tc>
        <w:tc>
          <w:tcPr>
            <w:tcW w:w="121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151(60.4)</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97 (38.8)</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 (0.8)</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2.60</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0.50</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4</w:t>
            </w:r>
          </w:p>
        </w:tc>
        <w:tc>
          <w:tcPr>
            <w:tcW w:w="223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hostel fees</w:t>
            </w:r>
          </w:p>
        </w:tc>
        <w:tc>
          <w:tcPr>
            <w:tcW w:w="121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25 (10)</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125 (50)</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100 (40)</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1.70</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0.64</w:t>
            </w:r>
          </w:p>
        </w:tc>
      </w:tr>
      <w:tr w:rsidR="006D1F09" w:rsidRPr="00210BD3" w:rsidTr="006D610E">
        <w:tc>
          <w:tcPr>
            <w:tcW w:w="662"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2236"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Average mean, std. dev</w:t>
            </w:r>
          </w:p>
        </w:tc>
        <w:tc>
          <w:tcPr>
            <w:tcW w:w="1215"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7"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5"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5"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2.10</w:t>
            </w:r>
          </w:p>
        </w:tc>
        <w:tc>
          <w:tcPr>
            <w:tcW w:w="1366"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0.55</w:t>
            </w:r>
          </w:p>
        </w:tc>
      </w:tr>
    </w:tbl>
    <w:p w:rsidR="00750353" w:rsidRDefault="00750353" w:rsidP="007137CC">
      <w:pPr>
        <w:spacing w:line="240" w:lineRule="auto"/>
        <w:rPr>
          <w:rFonts w:ascii="Times New Roman" w:hAnsi="Times New Roman" w:cs="Times New Roman"/>
          <w:sz w:val="26"/>
          <w:szCs w:val="26"/>
        </w:rPr>
      </w:pPr>
    </w:p>
    <w:p w:rsidR="00750353" w:rsidRDefault="006D1F09" w:rsidP="00750353">
      <w:pPr>
        <w:spacing w:line="240" w:lineRule="auto"/>
        <w:rPr>
          <w:rFonts w:ascii="Times New Roman" w:hAnsi="Times New Roman" w:cs="Times New Roman"/>
          <w:b/>
          <w:sz w:val="26"/>
          <w:szCs w:val="26"/>
        </w:rPr>
      </w:pPr>
      <w:r w:rsidRPr="00210BD3">
        <w:rPr>
          <w:rFonts w:ascii="Times New Roman" w:hAnsi="Times New Roman" w:cs="Times New Roman"/>
          <w:sz w:val="26"/>
          <w:szCs w:val="26"/>
        </w:rPr>
        <w:t>The result of the analysis in Table 1 shows that items 1and 3 have mean scores above the criterion mean of 2.00, while items 2 and 4 have mean scores below the criterion of 2.00. This means parents’ contributions to university education through school charges and registrations were more than they contributed through donations and hostel fees.  The result in Table 1 also shows an average mean score of 2.10, which is above the criterion mean of 2.00. This implies that the extent of contributions of parents to university education for national sustainable development is high.</w:t>
      </w:r>
    </w:p>
    <w:p w:rsidR="006D1F09" w:rsidRPr="00210BD3" w:rsidRDefault="006D1F09" w:rsidP="00750353">
      <w:pPr>
        <w:spacing w:line="240" w:lineRule="auto"/>
        <w:rPr>
          <w:rFonts w:ascii="Times New Roman" w:hAnsi="Times New Roman" w:cs="Times New Roman"/>
          <w:sz w:val="26"/>
          <w:szCs w:val="26"/>
        </w:rPr>
      </w:pPr>
      <w:r w:rsidRPr="00210BD3">
        <w:rPr>
          <w:rFonts w:ascii="Times New Roman" w:hAnsi="Times New Roman" w:cs="Times New Roman"/>
          <w:sz w:val="26"/>
          <w:szCs w:val="26"/>
        </w:rPr>
        <w:t>Research question two</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To what extent do corporate bodies/companies contribute to university education for sustainable national development? The result is presented in Tables 2.</w:t>
      </w:r>
    </w:p>
    <w:p w:rsidR="006D1F09" w:rsidRPr="00210BD3" w:rsidRDefault="006D1F09" w:rsidP="007137CC">
      <w:pPr>
        <w:spacing w:after="0" w:line="240" w:lineRule="auto"/>
        <w:jc w:val="both"/>
        <w:rPr>
          <w:rFonts w:ascii="Times New Roman" w:hAnsi="Times New Roman" w:cs="Times New Roman"/>
          <w:sz w:val="26"/>
          <w:szCs w:val="26"/>
        </w:rPr>
      </w:pPr>
    </w:p>
    <w:p w:rsidR="006D1F09" w:rsidRPr="00210BD3" w:rsidRDefault="006D1F09" w:rsidP="007137CC">
      <w:pPr>
        <w:spacing w:after="0" w:line="240" w:lineRule="auto"/>
        <w:rPr>
          <w:rFonts w:ascii="Times New Roman" w:hAnsi="Times New Roman" w:cs="Times New Roman"/>
          <w:sz w:val="26"/>
          <w:szCs w:val="26"/>
        </w:rPr>
      </w:pPr>
      <w:r w:rsidRPr="00210BD3">
        <w:rPr>
          <w:rFonts w:ascii="Times New Roman" w:hAnsi="Times New Roman" w:cs="Times New Roman"/>
          <w:sz w:val="26"/>
          <w:szCs w:val="26"/>
        </w:rPr>
        <w:t>TABLE2:The mean and standard Deviation of the responses on the extent of corporate bodies/companies’ contribution to university education for sustainable national development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662"/>
        <w:gridCol w:w="2146"/>
        <w:gridCol w:w="1304"/>
        <w:gridCol w:w="1367"/>
        <w:gridCol w:w="1365"/>
        <w:gridCol w:w="1366"/>
        <w:gridCol w:w="1366"/>
      </w:tblGrid>
      <w:tr w:rsidR="006D1F09" w:rsidRPr="00210BD3" w:rsidTr="006D610E">
        <w:tc>
          <w:tcPr>
            <w:tcW w:w="662"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S/N</w:t>
            </w:r>
          </w:p>
        </w:tc>
        <w:tc>
          <w:tcPr>
            <w:tcW w:w="2146"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Items</w:t>
            </w:r>
          </w:p>
        </w:tc>
        <w:tc>
          <w:tcPr>
            <w:tcW w:w="1304"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High (%)</w:t>
            </w:r>
          </w:p>
        </w:tc>
        <w:tc>
          <w:tcPr>
            <w:tcW w:w="1367"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Moderate (%)</w:t>
            </w:r>
          </w:p>
        </w:tc>
        <w:tc>
          <w:tcPr>
            <w:tcW w:w="1365"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Low (%)</w:t>
            </w:r>
          </w:p>
        </w:tc>
        <w:tc>
          <w:tcPr>
            <w:tcW w:w="1366"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Mean</w:t>
            </w:r>
          </w:p>
        </w:tc>
        <w:tc>
          <w:tcPr>
            <w:tcW w:w="1366" w:type="dxa"/>
            <w:tcBorders>
              <w:top w:val="single" w:sz="4" w:space="0" w:color="auto"/>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Std. Dev.</w:t>
            </w:r>
          </w:p>
        </w:tc>
      </w:tr>
      <w:tr w:rsidR="006D1F09" w:rsidRPr="00210BD3" w:rsidTr="006D610E">
        <w:tc>
          <w:tcPr>
            <w:tcW w:w="662"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w:t>
            </w:r>
          </w:p>
        </w:tc>
        <w:tc>
          <w:tcPr>
            <w:tcW w:w="2146"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Contribution through consultancy </w:t>
            </w:r>
            <w:r w:rsidRPr="00210BD3">
              <w:rPr>
                <w:sz w:val="26"/>
                <w:szCs w:val="26"/>
              </w:rPr>
              <w:lastRenderedPageBreak/>
              <w:t>service</w:t>
            </w:r>
          </w:p>
        </w:tc>
        <w:tc>
          <w:tcPr>
            <w:tcW w:w="1304"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lastRenderedPageBreak/>
              <w:t>38 (15.2)</w:t>
            </w:r>
          </w:p>
        </w:tc>
        <w:tc>
          <w:tcPr>
            <w:tcW w:w="1367"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138 (55.2)</w:t>
            </w:r>
          </w:p>
        </w:tc>
        <w:tc>
          <w:tcPr>
            <w:tcW w:w="1365"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74 (29.6)</w:t>
            </w:r>
          </w:p>
        </w:tc>
        <w:tc>
          <w:tcPr>
            <w:tcW w:w="1366"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1.86</w:t>
            </w:r>
          </w:p>
        </w:tc>
        <w:tc>
          <w:tcPr>
            <w:tcW w:w="1366"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0.65</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lastRenderedPageBreak/>
              <w:t>2</w:t>
            </w:r>
          </w:p>
        </w:tc>
        <w:tc>
          <w:tcPr>
            <w:tcW w:w="214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donations</w:t>
            </w:r>
          </w:p>
        </w:tc>
        <w:tc>
          <w:tcPr>
            <w:tcW w:w="1304"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62 (24.8)</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126 (59.4)</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62 (28.8)</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2.00</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0.70</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3</w:t>
            </w:r>
          </w:p>
        </w:tc>
        <w:tc>
          <w:tcPr>
            <w:tcW w:w="214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Contribution through scholarship</w:t>
            </w:r>
          </w:p>
        </w:tc>
        <w:tc>
          <w:tcPr>
            <w:tcW w:w="1304"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0</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100 (40)</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150 (60)</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1.40</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0.49</w:t>
            </w:r>
          </w:p>
        </w:tc>
      </w:tr>
      <w:tr w:rsidR="006D1F09" w:rsidRPr="00210BD3" w:rsidTr="006D610E">
        <w:tc>
          <w:tcPr>
            <w:tcW w:w="662"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4</w:t>
            </w:r>
          </w:p>
        </w:tc>
        <w:tc>
          <w:tcPr>
            <w:tcW w:w="214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Contribution through research funding </w:t>
            </w:r>
          </w:p>
        </w:tc>
        <w:tc>
          <w:tcPr>
            <w:tcW w:w="1304"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24 (9.6)</w:t>
            </w:r>
          </w:p>
        </w:tc>
        <w:tc>
          <w:tcPr>
            <w:tcW w:w="1367"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87 (34.8)</w:t>
            </w:r>
          </w:p>
        </w:tc>
        <w:tc>
          <w:tcPr>
            <w:tcW w:w="1365"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139 (55.6)</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1.54</w:t>
            </w:r>
          </w:p>
        </w:tc>
        <w:tc>
          <w:tcPr>
            <w:tcW w:w="1366" w:type="dxa"/>
            <w:tcBorders>
              <w:top w:val="nil"/>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0.66</w:t>
            </w:r>
          </w:p>
        </w:tc>
      </w:tr>
      <w:tr w:rsidR="006D1F09" w:rsidRPr="00210BD3" w:rsidTr="006D610E">
        <w:tc>
          <w:tcPr>
            <w:tcW w:w="662" w:type="dxa"/>
            <w:tcBorders>
              <w:top w:val="nil"/>
              <w:left w:val="nil"/>
              <w:bottom w:val="nil"/>
              <w:right w:val="nil"/>
            </w:tcBorders>
          </w:tcPr>
          <w:p w:rsidR="006D1F09" w:rsidRPr="00210BD3" w:rsidRDefault="006D1F09" w:rsidP="007137CC">
            <w:pPr>
              <w:spacing w:before="100" w:beforeAutospacing="1"/>
              <w:rPr>
                <w:rFonts w:eastAsia="Calibri"/>
                <w:sz w:val="26"/>
                <w:szCs w:val="26"/>
              </w:rPr>
            </w:pPr>
          </w:p>
        </w:tc>
        <w:tc>
          <w:tcPr>
            <w:tcW w:w="2146"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Average mean, std.dev.</w:t>
            </w:r>
          </w:p>
        </w:tc>
        <w:tc>
          <w:tcPr>
            <w:tcW w:w="1304"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7"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5" w:type="dxa"/>
            <w:tcBorders>
              <w:top w:val="nil"/>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1366"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1.70</w:t>
            </w:r>
          </w:p>
        </w:tc>
        <w:tc>
          <w:tcPr>
            <w:tcW w:w="1366"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   0.45</w:t>
            </w:r>
          </w:p>
        </w:tc>
      </w:tr>
    </w:tbl>
    <w:p w:rsidR="00750353" w:rsidRDefault="00750353" w:rsidP="007137CC">
      <w:pPr>
        <w:spacing w:after="0" w:line="240" w:lineRule="auto"/>
        <w:jc w:val="both"/>
        <w:rPr>
          <w:rFonts w:ascii="Times New Roman" w:hAnsi="Times New Roman" w:cs="Times New Roman"/>
          <w:sz w:val="26"/>
          <w:szCs w:val="26"/>
        </w:rPr>
      </w:pP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         The result of the analysis in Table 2 shows that only items 2 have mean score equal to the criterion mean of 2.00, while items 1, 3 and 4 have mean scores below the criterion of 2.00. This means that corporate bodies/companies’ contributions to university education through donations were more than they contributed through consultancy service, scholarship and research funding. The result in Table 2 also shows an average mean score of 1.70 which is below the criterion mean of 2.00. This implies that the extent of contributions of corporate/companies to university education for national sustainable development is low.</w:t>
      </w:r>
    </w:p>
    <w:p w:rsidR="006D1F09" w:rsidRPr="00210BD3" w:rsidRDefault="006D1F09" w:rsidP="007137CC">
      <w:pPr>
        <w:spacing w:after="0" w:line="240" w:lineRule="auto"/>
        <w:jc w:val="both"/>
        <w:rPr>
          <w:rFonts w:ascii="Times New Roman" w:hAnsi="Times New Roman" w:cs="Times New Roman"/>
          <w:b/>
          <w:sz w:val="26"/>
          <w:szCs w:val="26"/>
        </w:rPr>
      </w:pP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Null hypothesis</w:t>
      </w:r>
    </w:p>
    <w:p w:rsidR="00120BEE"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There is no significant difference between the Mean scores of responses on contributions of parents and corporate bodies/companies’ to university education for sustainable national development.  The result is presented in Tables 3 and 4 </w:t>
      </w:r>
    </w:p>
    <w:p w:rsidR="00527252" w:rsidRPr="00210BD3" w:rsidRDefault="00527252" w:rsidP="007137CC">
      <w:pPr>
        <w:autoSpaceDE w:val="0"/>
        <w:autoSpaceDN w:val="0"/>
        <w:adjustRightInd w:val="0"/>
        <w:spacing w:after="0" w:line="240" w:lineRule="auto"/>
        <w:jc w:val="both"/>
        <w:rPr>
          <w:rFonts w:ascii="Times New Roman" w:hAnsi="Times New Roman" w:cs="Times New Roman"/>
          <w:sz w:val="26"/>
          <w:szCs w:val="26"/>
        </w:rPr>
      </w:pPr>
    </w:p>
    <w:p w:rsidR="006D1F09" w:rsidRPr="00210BD3" w:rsidRDefault="006D1F09" w:rsidP="007137CC">
      <w:pPr>
        <w:spacing w:after="0" w:line="240" w:lineRule="auto"/>
        <w:rPr>
          <w:rFonts w:ascii="Times New Roman" w:hAnsi="Times New Roman" w:cs="Times New Roman"/>
          <w:sz w:val="26"/>
          <w:szCs w:val="26"/>
        </w:rPr>
      </w:pPr>
      <w:r w:rsidRPr="00210BD3">
        <w:rPr>
          <w:rFonts w:ascii="Times New Roman" w:hAnsi="Times New Roman" w:cs="Times New Roman"/>
          <w:sz w:val="26"/>
          <w:szCs w:val="26"/>
        </w:rPr>
        <w:t>TABLE 3:A paired Sample statistics analysis of the difference in the mean scores of responses on contributions of parents and corporate bodies/companies’ to university education for sustainable national development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4345"/>
        <w:gridCol w:w="1130"/>
        <w:gridCol w:w="789"/>
        <w:gridCol w:w="1490"/>
        <w:gridCol w:w="1390"/>
      </w:tblGrid>
      <w:tr w:rsidR="006D1F09" w:rsidRPr="00210BD3" w:rsidTr="006D610E">
        <w:tc>
          <w:tcPr>
            <w:tcW w:w="4345" w:type="dxa"/>
            <w:tcBorders>
              <w:top w:val="single" w:sz="4" w:space="0" w:color="auto"/>
              <w:left w:val="nil"/>
              <w:bottom w:val="nil"/>
              <w:right w:val="nil"/>
            </w:tcBorders>
          </w:tcPr>
          <w:p w:rsidR="006D1F09" w:rsidRPr="00210BD3" w:rsidRDefault="006D1F09" w:rsidP="007137CC">
            <w:pPr>
              <w:spacing w:before="100" w:beforeAutospacing="1"/>
              <w:rPr>
                <w:rFonts w:eastAsia="Calibri"/>
                <w:sz w:val="26"/>
                <w:szCs w:val="26"/>
              </w:rPr>
            </w:pPr>
          </w:p>
        </w:tc>
        <w:tc>
          <w:tcPr>
            <w:tcW w:w="1130"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 xml:space="preserve">Mean </w:t>
            </w:r>
          </w:p>
        </w:tc>
        <w:tc>
          <w:tcPr>
            <w:tcW w:w="789"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N</w:t>
            </w:r>
          </w:p>
        </w:tc>
        <w:tc>
          <w:tcPr>
            <w:tcW w:w="1490"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Std. Deviation</w:t>
            </w:r>
          </w:p>
        </w:tc>
        <w:tc>
          <w:tcPr>
            <w:tcW w:w="1390" w:type="dxa"/>
            <w:tcBorders>
              <w:top w:val="single" w:sz="4" w:space="0" w:color="auto"/>
              <w:left w:val="nil"/>
              <w:bottom w:val="nil"/>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Std. Error    mean</w:t>
            </w:r>
          </w:p>
        </w:tc>
      </w:tr>
      <w:tr w:rsidR="006D1F09" w:rsidRPr="00210BD3" w:rsidTr="006D610E">
        <w:trPr>
          <w:trHeight w:val="927"/>
        </w:trPr>
        <w:tc>
          <w:tcPr>
            <w:tcW w:w="4345" w:type="dxa"/>
            <w:tcBorders>
              <w:top w:val="nil"/>
              <w:left w:val="nil"/>
              <w:bottom w:val="single" w:sz="4" w:space="0" w:color="auto"/>
              <w:right w:val="nil"/>
            </w:tcBorders>
          </w:tcPr>
          <w:p w:rsidR="006D1F09" w:rsidRPr="00210BD3" w:rsidRDefault="006D1F09" w:rsidP="007137CC">
            <w:pPr>
              <w:rPr>
                <w:rFonts w:eastAsia="Calibri"/>
                <w:sz w:val="26"/>
                <w:szCs w:val="26"/>
              </w:rPr>
            </w:pPr>
            <w:r w:rsidRPr="00210BD3">
              <w:rPr>
                <w:sz w:val="26"/>
                <w:szCs w:val="26"/>
              </w:rPr>
              <w:t>Pair 1    Parents</w:t>
            </w:r>
          </w:p>
          <w:p w:rsidR="006D1F09" w:rsidRPr="00210BD3" w:rsidRDefault="006D1F09" w:rsidP="007137CC">
            <w:pPr>
              <w:ind w:hanging="720"/>
              <w:rPr>
                <w:sz w:val="26"/>
                <w:szCs w:val="26"/>
              </w:rPr>
            </w:pPr>
            <w:r w:rsidRPr="00210BD3">
              <w:rPr>
                <w:sz w:val="26"/>
                <w:szCs w:val="26"/>
              </w:rPr>
              <w:t xml:space="preserve">               Corporate bodies/companies </w:t>
            </w:r>
          </w:p>
          <w:p w:rsidR="006D1F09" w:rsidRPr="00210BD3" w:rsidRDefault="006D1F09" w:rsidP="007137CC">
            <w:pPr>
              <w:spacing w:before="100" w:beforeAutospacing="1"/>
              <w:rPr>
                <w:rFonts w:eastAsia="Calibri"/>
                <w:sz w:val="26"/>
                <w:szCs w:val="26"/>
              </w:rPr>
            </w:pPr>
          </w:p>
        </w:tc>
        <w:tc>
          <w:tcPr>
            <w:tcW w:w="1130" w:type="dxa"/>
            <w:tcBorders>
              <w:top w:val="nil"/>
              <w:left w:val="nil"/>
              <w:bottom w:val="single" w:sz="4" w:space="0" w:color="auto"/>
              <w:right w:val="nil"/>
            </w:tcBorders>
            <w:hideMark/>
          </w:tcPr>
          <w:p w:rsidR="006D1F09" w:rsidRPr="00210BD3" w:rsidRDefault="006D1F09" w:rsidP="007137CC">
            <w:pPr>
              <w:rPr>
                <w:rFonts w:eastAsia="Calibri"/>
                <w:sz w:val="26"/>
                <w:szCs w:val="26"/>
              </w:rPr>
            </w:pPr>
            <w:r w:rsidRPr="00210BD3">
              <w:rPr>
                <w:sz w:val="26"/>
                <w:szCs w:val="26"/>
              </w:rPr>
              <w:t>8.50</w:t>
            </w:r>
          </w:p>
          <w:p w:rsidR="006D1F09" w:rsidRPr="00210BD3" w:rsidRDefault="006D1F09" w:rsidP="007137CC">
            <w:pPr>
              <w:spacing w:before="100" w:beforeAutospacing="1"/>
              <w:rPr>
                <w:rFonts w:eastAsia="Calibri"/>
                <w:sz w:val="26"/>
                <w:szCs w:val="26"/>
              </w:rPr>
            </w:pPr>
            <w:r w:rsidRPr="00210BD3">
              <w:rPr>
                <w:sz w:val="26"/>
                <w:szCs w:val="26"/>
              </w:rPr>
              <w:t>6.80</w:t>
            </w:r>
          </w:p>
        </w:tc>
        <w:tc>
          <w:tcPr>
            <w:tcW w:w="789" w:type="dxa"/>
            <w:tcBorders>
              <w:top w:val="nil"/>
              <w:left w:val="nil"/>
              <w:bottom w:val="single" w:sz="4" w:space="0" w:color="auto"/>
              <w:right w:val="nil"/>
            </w:tcBorders>
            <w:hideMark/>
          </w:tcPr>
          <w:p w:rsidR="006D1F09" w:rsidRPr="00210BD3" w:rsidRDefault="006D1F09" w:rsidP="007137CC">
            <w:pPr>
              <w:rPr>
                <w:rFonts w:eastAsia="Calibri"/>
                <w:sz w:val="26"/>
                <w:szCs w:val="26"/>
              </w:rPr>
            </w:pPr>
            <w:r w:rsidRPr="00210BD3">
              <w:rPr>
                <w:sz w:val="26"/>
                <w:szCs w:val="26"/>
              </w:rPr>
              <w:t>250</w:t>
            </w:r>
          </w:p>
          <w:p w:rsidR="006D1F09" w:rsidRPr="00210BD3" w:rsidRDefault="006D1F09" w:rsidP="007137CC">
            <w:pPr>
              <w:spacing w:before="100" w:beforeAutospacing="1"/>
              <w:rPr>
                <w:rFonts w:eastAsia="Calibri"/>
                <w:sz w:val="26"/>
                <w:szCs w:val="26"/>
              </w:rPr>
            </w:pPr>
            <w:r w:rsidRPr="00210BD3">
              <w:rPr>
                <w:sz w:val="26"/>
                <w:szCs w:val="26"/>
              </w:rPr>
              <w:t>250</w:t>
            </w:r>
          </w:p>
        </w:tc>
        <w:tc>
          <w:tcPr>
            <w:tcW w:w="1490" w:type="dxa"/>
            <w:tcBorders>
              <w:top w:val="nil"/>
              <w:left w:val="nil"/>
              <w:bottom w:val="single" w:sz="4" w:space="0" w:color="auto"/>
              <w:right w:val="nil"/>
            </w:tcBorders>
            <w:hideMark/>
          </w:tcPr>
          <w:p w:rsidR="006D1F09" w:rsidRPr="00210BD3" w:rsidRDefault="006D1F09" w:rsidP="007137CC">
            <w:pPr>
              <w:rPr>
                <w:rFonts w:eastAsia="Calibri"/>
                <w:sz w:val="26"/>
                <w:szCs w:val="26"/>
              </w:rPr>
            </w:pPr>
            <w:r w:rsidRPr="00210BD3">
              <w:rPr>
                <w:sz w:val="26"/>
                <w:szCs w:val="26"/>
              </w:rPr>
              <w:t>1.197</w:t>
            </w:r>
          </w:p>
          <w:p w:rsidR="006D1F09" w:rsidRPr="00210BD3" w:rsidRDefault="006D1F09" w:rsidP="007137CC">
            <w:pPr>
              <w:spacing w:before="100" w:beforeAutospacing="1"/>
              <w:rPr>
                <w:rFonts w:eastAsia="Calibri"/>
                <w:sz w:val="26"/>
                <w:szCs w:val="26"/>
              </w:rPr>
            </w:pPr>
            <w:r w:rsidRPr="00210BD3">
              <w:rPr>
                <w:sz w:val="26"/>
                <w:szCs w:val="26"/>
              </w:rPr>
              <w:t>1.077</w:t>
            </w:r>
          </w:p>
        </w:tc>
        <w:tc>
          <w:tcPr>
            <w:tcW w:w="1390" w:type="dxa"/>
            <w:tcBorders>
              <w:top w:val="nil"/>
              <w:left w:val="nil"/>
              <w:bottom w:val="single" w:sz="4" w:space="0" w:color="auto"/>
              <w:right w:val="nil"/>
            </w:tcBorders>
            <w:hideMark/>
          </w:tcPr>
          <w:p w:rsidR="006D1F09" w:rsidRPr="00210BD3" w:rsidRDefault="006D1F09" w:rsidP="007137CC">
            <w:pPr>
              <w:rPr>
                <w:rFonts w:eastAsia="Calibri"/>
                <w:sz w:val="26"/>
                <w:szCs w:val="26"/>
              </w:rPr>
            </w:pPr>
            <w:r w:rsidRPr="00210BD3">
              <w:rPr>
                <w:sz w:val="26"/>
                <w:szCs w:val="26"/>
              </w:rPr>
              <w:t xml:space="preserve">    .076</w:t>
            </w:r>
          </w:p>
          <w:p w:rsidR="006D1F09" w:rsidRPr="00210BD3" w:rsidRDefault="006D1F09" w:rsidP="007137CC">
            <w:pPr>
              <w:spacing w:before="100" w:beforeAutospacing="1"/>
              <w:rPr>
                <w:rFonts w:eastAsia="Calibri"/>
                <w:sz w:val="26"/>
                <w:szCs w:val="26"/>
              </w:rPr>
            </w:pPr>
            <w:r w:rsidRPr="00210BD3">
              <w:rPr>
                <w:sz w:val="26"/>
                <w:szCs w:val="26"/>
              </w:rPr>
              <w:t xml:space="preserve">    .068</w:t>
            </w:r>
          </w:p>
        </w:tc>
      </w:tr>
    </w:tbl>
    <w:p w:rsidR="00750353" w:rsidRDefault="00750353" w:rsidP="007137CC">
      <w:pPr>
        <w:spacing w:line="240" w:lineRule="auto"/>
        <w:rPr>
          <w:rFonts w:ascii="Times New Roman" w:hAnsi="Times New Roman" w:cs="Times New Roman"/>
          <w:sz w:val="26"/>
          <w:szCs w:val="26"/>
        </w:rPr>
      </w:pPr>
    </w:p>
    <w:p w:rsidR="00750353" w:rsidRDefault="00750353">
      <w:pPr>
        <w:rPr>
          <w:rFonts w:ascii="Times New Roman" w:hAnsi="Times New Roman" w:cs="Times New Roman"/>
          <w:sz w:val="26"/>
          <w:szCs w:val="26"/>
        </w:rPr>
      </w:pPr>
      <w:r>
        <w:rPr>
          <w:rFonts w:ascii="Times New Roman" w:hAnsi="Times New Roman" w:cs="Times New Roman"/>
          <w:sz w:val="26"/>
          <w:szCs w:val="26"/>
        </w:rPr>
        <w:br w:type="page"/>
      </w:r>
    </w:p>
    <w:p w:rsidR="006D1F09" w:rsidRPr="00210BD3" w:rsidRDefault="006D1F09" w:rsidP="007137CC">
      <w:pPr>
        <w:spacing w:after="0" w:line="240" w:lineRule="auto"/>
        <w:jc w:val="center"/>
        <w:rPr>
          <w:rFonts w:ascii="Times New Roman" w:hAnsi="Times New Roman" w:cs="Times New Roman"/>
          <w:sz w:val="26"/>
          <w:szCs w:val="26"/>
        </w:rPr>
      </w:pPr>
      <w:r w:rsidRPr="00210BD3">
        <w:rPr>
          <w:rFonts w:ascii="Times New Roman" w:hAnsi="Times New Roman" w:cs="Times New Roman"/>
          <w:sz w:val="26"/>
          <w:szCs w:val="26"/>
        </w:rPr>
        <w:lastRenderedPageBreak/>
        <w:t>TABLE4:A paired Sample t-test analysis of the difference in the mean scores of responses on contributions of parents and corporate bodies/companies’ to university education for sustainable national development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3759"/>
        <w:gridCol w:w="808"/>
        <w:gridCol w:w="1493"/>
        <w:gridCol w:w="1615"/>
        <w:gridCol w:w="1077"/>
        <w:gridCol w:w="824"/>
      </w:tblGrid>
      <w:tr w:rsidR="006D1F09" w:rsidRPr="00210BD3" w:rsidTr="006D610E">
        <w:tc>
          <w:tcPr>
            <w:tcW w:w="3798" w:type="dxa"/>
            <w:tcBorders>
              <w:top w:val="single" w:sz="4" w:space="0" w:color="auto"/>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3870" w:type="dxa"/>
            <w:gridSpan w:val="3"/>
            <w:tcBorders>
              <w:top w:val="single" w:sz="4" w:space="0" w:color="auto"/>
              <w:left w:val="nil"/>
              <w:bottom w:val="single" w:sz="4" w:space="0" w:color="auto"/>
              <w:right w:val="nil"/>
            </w:tcBorders>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 xml:space="preserve">           Paired Difference</w:t>
            </w:r>
          </w:p>
        </w:tc>
        <w:tc>
          <w:tcPr>
            <w:tcW w:w="1080" w:type="dxa"/>
            <w:tcBorders>
              <w:top w:val="single" w:sz="4" w:space="0" w:color="auto"/>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c>
          <w:tcPr>
            <w:tcW w:w="828" w:type="dxa"/>
            <w:tcBorders>
              <w:top w:val="single" w:sz="4" w:space="0" w:color="auto"/>
              <w:left w:val="nil"/>
              <w:bottom w:val="single" w:sz="4" w:space="0" w:color="auto"/>
              <w:right w:val="nil"/>
            </w:tcBorders>
          </w:tcPr>
          <w:p w:rsidR="006D1F09" w:rsidRPr="00210BD3" w:rsidRDefault="006D1F09" w:rsidP="007137CC">
            <w:pPr>
              <w:spacing w:before="100" w:beforeAutospacing="1"/>
              <w:rPr>
                <w:rFonts w:eastAsia="Calibri"/>
                <w:sz w:val="26"/>
                <w:szCs w:val="26"/>
              </w:rPr>
            </w:pPr>
          </w:p>
        </w:tc>
      </w:tr>
      <w:tr w:rsidR="006D1F09" w:rsidRPr="00210BD3" w:rsidTr="006D610E">
        <w:trPr>
          <w:trHeight w:val="420"/>
        </w:trPr>
        <w:tc>
          <w:tcPr>
            <w:tcW w:w="3798" w:type="dxa"/>
            <w:vMerge w:val="restart"/>
            <w:tcBorders>
              <w:top w:val="nil"/>
              <w:left w:val="nil"/>
              <w:bottom w:val="nil"/>
              <w:right w:val="nil"/>
            </w:tcBorders>
          </w:tcPr>
          <w:p w:rsidR="006D1F09" w:rsidRPr="00210BD3" w:rsidRDefault="006D1F09" w:rsidP="007137CC">
            <w:pPr>
              <w:rPr>
                <w:rFonts w:eastAsia="Calibri"/>
                <w:sz w:val="26"/>
                <w:szCs w:val="26"/>
              </w:rPr>
            </w:pPr>
          </w:p>
          <w:p w:rsidR="006D1F09" w:rsidRPr="00210BD3" w:rsidRDefault="006D1F09" w:rsidP="007137CC">
            <w:pPr>
              <w:rPr>
                <w:sz w:val="26"/>
                <w:szCs w:val="26"/>
              </w:rPr>
            </w:pPr>
            <w:r w:rsidRPr="00210BD3">
              <w:rPr>
                <w:sz w:val="26"/>
                <w:szCs w:val="26"/>
              </w:rPr>
              <w:t>Pair 1 Parents</w:t>
            </w:r>
          </w:p>
          <w:p w:rsidR="006D1F09" w:rsidRPr="00210BD3" w:rsidRDefault="006D1F09" w:rsidP="007137CC">
            <w:pPr>
              <w:rPr>
                <w:sz w:val="26"/>
                <w:szCs w:val="26"/>
              </w:rPr>
            </w:pPr>
            <w:r w:rsidRPr="00210BD3">
              <w:rPr>
                <w:sz w:val="26"/>
                <w:szCs w:val="26"/>
              </w:rPr>
              <w:t xml:space="preserve">           Corporate bodies/companies</w:t>
            </w:r>
          </w:p>
          <w:p w:rsidR="006D1F09" w:rsidRPr="00210BD3" w:rsidRDefault="006D1F09" w:rsidP="007137CC">
            <w:pPr>
              <w:spacing w:before="100" w:beforeAutospacing="1"/>
              <w:rPr>
                <w:rFonts w:eastAsia="Calibri"/>
                <w:sz w:val="26"/>
                <w:szCs w:val="26"/>
              </w:rPr>
            </w:pPr>
          </w:p>
        </w:tc>
        <w:tc>
          <w:tcPr>
            <w:tcW w:w="735" w:type="dxa"/>
            <w:tcBorders>
              <w:top w:val="single" w:sz="4" w:space="0" w:color="auto"/>
              <w:left w:val="nil"/>
              <w:bottom w:val="nil"/>
              <w:right w:val="nil"/>
            </w:tcBorders>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Mean</w:t>
            </w:r>
          </w:p>
        </w:tc>
        <w:tc>
          <w:tcPr>
            <w:tcW w:w="1500" w:type="dxa"/>
            <w:tcBorders>
              <w:top w:val="single" w:sz="4" w:space="0" w:color="auto"/>
              <w:left w:val="nil"/>
              <w:bottom w:val="nil"/>
              <w:right w:val="nil"/>
            </w:tcBorders>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Std. deviation</w:t>
            </w:r>
          </w:p>
        </w:tc>
        <w:tc>
          <w:tcPr>
            <w:tcW w:w="1635" w:type="dxa"/>
            <w:tcBorders>
              <w:top w:val="single" w:sz="4" w:space="0" w:color="auto"/>
              <w:left w:val="nil"/>
              <w:bottom w:val="nil"/>
              <w:right w:val="nil"/>
            </w:tcBorders>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Std. Error mean</w:t>
            </w:r>
          </w:p>
        </w:tc>
        <w:tc>
          <w:tcPr>
            <w:tcW w:w="1080" w:type="dxa"/>
            <w:tcBorders>
              <w:top w:val="single" w:sz="4" w:space="0" w:color="auto"/>
              <w:left w:val="nil"/>
              <w:bottom w:val="nil"/>
              <w:right w:val="nil"/>
            </w:tcBorders>
            <w:hideMark/>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 xml:space="preserve"> T</w:t>
            </w:r>
          </w:p>
        </w:tc>
        <w:tc>
          <w:tcPr>
            <w:tcW w:w="828" w:type="dxa"/>
            <w:tcBorders>
              <w:top w:val="single" w:sz="4" w:space="0" w:color="auto"/>
              <w:left w:val="nil"/>
              <w:bottom w:val="nil"/>
              <w:right w:val="nil"/>
            </w:tcBorders>
          </w:tcPr>
          <w:p w:rsidR="006D1F09" w:rsidRPr="00210BD3" w:rsidRDefault="006D1F09" w:rsidP="007137CC">
            <w:pPr>
              <w:rPr>
                <w:rFonts w:eastAsia="Calibri"/>
                <w:sz w:val="26"/>
                <w:szCs w:val="26"/>
              </w:rPr>
            </w:pPr>
          </w:p>
          <w:p w:rsidR="006D1F09" w:rsidRPr="00210BD3" w:rsidRDefault="006D1F09" w:rsidP="007137CC">
            <w:pPr>
              <w:spacing w:before="100" w:beforeAutospacing="1"/>
              <w:rPr>
                <w:rFonts w:eastAsia="Calibri"/>
                <w:sz w:val="26"/>
                <w:szCs w:val="26"/>
              </w:rPr>
            </w:pPr>
            <w:r w:rsidRPr="00210BD3">
              <w:rPr>
                <w:sz w:val="26"/>
                <w:szCs w:val="26"/>
              </w:rPr>
              <w:t>Sig.</w:t>
            </w:r>
          </w:p>
        </w:tc>
      </w:tr>
      <w:tr w:rsidR="006D1F09" w:rsidRPr="00210BD3" w:rsidTr="006D610E">
        <w:trPr>
          <w:trHeight w:val="660"/>
        </w:trPr>
        <w:tc>
          <w:tcPr>
            <w:tcW w:w="0" w:type="auto"/>
            <w:vMerge/>
            <w:tcBorders>
              <w:top w:val="nil"/>
              <w:left w:val="nil"/>
              <w:bottom w:val="nil"/>
              <w:right w:val="nil"/>
            </w:tcBorders>
            <w:vAlign w:val="center"/>
            <w:hideMark/>
          </w:tcPr>
          <w:p w:rsidR="006D1F09" w:rsidRPr="00210BD3" w:rsidRDefault="006D1F09" w:rsidP="007137CC">
            <w:pPr>
              <w:rPr>
                <w:rFonts w:eastAsia="Calibri"/>
                <w:sz w:val="26"/>
                <w:szCs w:val="26"/>
              </w:rPr>
            </w:pPr>
          </w:p>
        </w:tc>
        <w:tc>
          <w:tcPr>
            <w:tcW w:w="735"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1.704</w:t>
            </w:r>
          </w:p>
        </w:tc>
        <w:tc>
          <w:tcPr>
            <w:tcW w:w="1500"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1.524</w:t>
            </w:r>
          </w:p>
        </w:tc>
        <w:tc>
          <w:tcPr>
            <w:tcW w:w="1635"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.096</w:t>
            </w:r>
          </w:p>
        </w:tc>
        <w:tc>
          <w:tcPr>
            <w:tcW w:w="1080"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17.682</w:t>
            </w:r>
          </w:p>
        </w:tc>
        <w:tc>
          <w:tcPr>
            <w:tcW w:w="828" w:type="dxa"/>
            <w:tcBorders>
              <w:top w:val="nil"/>
              <w:left w:val="nil"/>
              <w:bottom w:val="single" w:sz="4" w:space="0" w:color="auto"/>
              <w:right w:val="nil"/>
            </w:tcBorders>
            <w:hideMark/>
          </w:tcPr>
          <w:p w:rsidR="006D1F09" w:rsidRPr="00210BD3" w:rsidRDefault="006D1F09" w:rsidP="007137CC">
            <w:pPr>
              <w:spacing w:before="100" w:beforeAutospacing="1"/>
              <w:rPr>
                <w:rFonts w:eastAsia="Calibri"/>
                <w:sz w:val="26"/>
                <w:szCs w:val="26"/>
              </w:rPr>
            </w:pPr>
            <w:r w:rsidRPr="00210BD3">
              <w:rPr>
                <w:sz w:val="26"/>
                <w:szCs w:val="26"/>
              </w:rPr>
              <w:t>.000</w:t>
            </w:r>
          </w:p>
        </w:tc>
      </w:tr>
    </w:tbl>
    <w:p w:rsidR="006D1F09" w:rsidRPr="00210BD3" w:rsidRDefault="006D1F09" w:rsidP="007137CC">
      <w:pPr>
        <w:spacing w:after="0" w:line="240" w:lineRule="auto"/>
        <w:jc w:val="both"/>
        <w:rPr>
          <w:rFonts w:ascii="Times New Roman" w:eastAsia="Calibri" w:hAnsi="Times New Roman" w:cs="Times New Roman"/>
          <w:sz w:val="26"/>
          <w:szCs w:val="26"/>
        </w:rPr>
      </w:pPr>
    </w:p>
    <w:p w:rsidR="00E5538A" w:rsidRDefault="00E5538A" w:rsidP="007137CC">
      <w:pPr>
        <w:spacing w:after="0" w:line="240" w:lineRule="auto"/>
        <w:jc w:val="both"/>
        <w:rPr>
          <w:rFonts w:ascii="Times New Roman" w:hAnsi="Times New Roman" w:cs="Times New Roman"/>
          <w:sz w:val="26"/>
          <w:szCs w:val="26"/>
        </w:rPr>
        <w:sectPr w:rsidR="00E5538A" w:rsidSect="00210BD3">
          <w:type w:val="continuous"/>
          <w:pgSz w:w="12240" w:h="15840" w:code="1"/>
          <w:pgMar w:top="1440" w:right="1440" w:bottom="1440" w:left="1440" w:header="706" w:footer="706" w:gutter="0"/>
          <w:cols w:space="708"/>
          <w:docGrid w:linePitch="360"/>
        </w:sectPr>
      </w:pP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 xml:space="preserve">           The analysis in Table 3 shows that the mean scores of responses on contributions of parents and corporate bodies are 8.50 and 6.80. This implies that were of high agreement that parents contribute more to university education than corporate bodies, which implies that parents contributed more to national development than corporate bodies/companies. Similarly, the standard deviation of responses on contributions of parents and corporate bodies are 1.179 and 1.077, showing that the responses were similarly dispersed or clustered around the mean scores. Accordingly, Table 4 shows that there is a significant difference (t=17.682, p&lt; .05) between contributions parents and corporate bodies/companies to university education for national development.</w:t>
      </w:r>
    </w:p>
    <w:p w:rsidR="006D1F09" w:rsidRPr="00210BD3" w:rsidRDefault="006D1F09"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sz w:val="26"/>
          <w:szCs w:val="26"/>
        </w:rPr>
        <w:tab/>
      </w:r>
      <w:r w:rsidRPr="00210BD3">
        <w:rPr>
          <w:rFonts w:ascii="Times New Roman" w:hAnsi="Times New Roman" w:cs="Times New Roman"/>
          <w:sz w:val="26"/>
          <w:szCs w:val="26"/>
        </w:rPr>
        <w:tab/>
      </w:r>
    </w:p>
    <w:p w:rsidR="006D1F09" w:rsidRPr="00210BD3" w:rsidRDefault="006D1F09"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Discussion of findings</w:t>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 analysis of the responses on the first research question revealed that parents contributed more to university education through school charges and registration than they contributed through donations and hostel fees. The result also revealed that parents contributed to a large extent to university education, which is meant </w:t>
      </w:r>
      <w:r w:rsidRPr="00210BD3">
        <w:rPr>
          <w:rFonts w:ascii="Times New Roman" w:hAnsi="Times New Roman" w:cs="Times New Roman"/>
          <w:sz w:val="26"/>
          <w:szCs w:val="26"/>
        </w:rPr>
        <w:lastRenderedPageBreak/>
        <w:t>for national development, as the average mean score of the responses 2.10, which is higher than the criterion mean of 2.00. This result implies that an increase in the income level of households can actually boost university education through private financing, which may help to reduce the propensity of underfunding in universities and ensure effective delivery of university education in the society, for national development.  This is in line with the opinion of Okuwa (2004) and Marcucci, Johnstone and Ngolovoi (2008) who, in their separate opinions, explained that parental contribution is based on the principle that parents have an obligation to share in the expenses associated with their children’s higher education, at least to the limit of their financial ability. This principle seems to be practically feasible when parents have the purchasing power to do so. Thus enhancing the income level households in the society may enhancing effective university education in the country through cost-sharing principle as proposed my different scholars.</w:t>
      </w:r>
    </w:p>
    <w:p w:rsidR="006D1F09" w:rsidRPr="00210BD3" w:rsidRDefault="006D1F09" w:rsidP="007137CC">
      <w:pPr>
        <w:autoSpaceDE w:val="0"/>
        <w:autoSpaceDN w:val="0"/>
        <w:adjustRightInd w:val="0"/>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             Accordingly, the analysis of the responses of the second research question revealed that corporate </w:t>
      </w:r>
      <w:r w:rsidRPr="00210BD3">
        <w:rPr>
          <w:rFonts w:ascii="Times New Roman" w:hAnsi="Times New Roman" w:cs="Times New Roman"/>
          <w:sz w:val="26"/>
          <w:szCs w:val="26"/>
        </w:rPr>
        <w:lastRenderedPageBreak/>
        <w:t>bodies/companies contributed to university education through donations, than they contributed through scholarship, research funding and consultancy service. The result also revealed that the contributions of corporate bodies to university education was to a low extent, as the average mean score of the responses was 1.70, which is lower than the criterion mean of 2.00.  This implies that there is need for adequate sanitization or awareness on the need to cement the link between universities and industries by institutional management in order to motivate corporate organizations to be fully involved in university funding process.   The analysis of the research hypothesis revealed that the mean difference between the scores on contributions of parents and corporate bodies/companies was significant (t=17.682, p&lt; .05). This implies that parents contributed significantly to university education than corporate organization, explaining poor linkage between industries and the university system in the country.</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            However, findings buttress the fact that cost-sharing is a feasible mechanism for effective funding of university education in Nigeria, as established by previous researchers. Nwachukwu</w:t>
      </w:r>
      <w:r w:rsidRPr="00210BD3">
        <w:rPr>
          <w:rFonts w:ascii="Times New Roman" w:hAnsi="Times New Roman" w:cs="Times New Roman"/>
          <w:bCs/>
          <w:sz w:val="26"/>
          <w:szCs w:val="26"/>
        </w:rPr>
        <w:t xml:space="preserve"> (2014) established that </w:t>
      </w:r>
      <w:r w:rsidRPr="00210BD3">
        <w:rPr>
          <w:rFonts w:ascii="Times New Roman" w:hAnsi="Times New Roman" w:cs="Times New Roman"/>
          <w:sz w:val="26"/>
          <w:szCs w:val="26"/>
        </w:rPr>
        <w:t xml:space="preserve"> regular contributions from communities, parents, state, large companies and regular financial support from international organizations were capable of bringing about sustainable educational development in Nigeria, thus the private sector was encouraged to invest in and operate the provision of education based on market demand and supply </w:t>
      </w:r>
      <w:r w:rsidRPr="00210BD3">
        <w:rPr>
          <w:rFonts w:ascii="Times New Roman" w:hAnsi="Times New Roman" w:cs="Times New Roman"/>
          <w:sz w:val="26"/>
          <w:szCs w:val="26"/>
        </w:rPr>
        <w:lastRenderedPageBreak/>
        <w:t xml:space="preserve">framework. This implies that an involvement of private sector in the provision of university education can be a feasible measure in the effective delivery of university education in Nigeria for sustainable national growth and development. In line these findings, </w:t>
      </w:r>
      <w:r w:rsidRPr="00210BD3">
        <w:rPr>
          <w:rFonts w:ascii="Times New Roman" w:hAnsi="Times New Roman" w:cs="Times New Roman"/>
          <w:bCs/>
          <w:sz w:val="26"/>
          <w:szCs w:val="26"/>
        </w:rPr>
        <w:t xml:space="preserve">Adeniyi and Taiwo’s (2011) </w:t>
      </w:r>
      <w:r w:rsidRPr="00210BD3">
        <w:rPr>
          <w:rFonts w:ascii="Times New Roman" w:hAnsi="Times New Roman" w:cs="Times New Roman"/>
          <w:sz w:val="26"/>
          <w:szCs w:val="26"/>
        </w:rPr>
        <w:t>argued that should the problem of underfunding must be tackle, then cost-sharing must be embraced by all stakeholders to university education. However, this result may be due to the fact that majority of parents in the states observed had the ability to finance their children education, or that the corporate organizations are given high tax rates that they could not cope with corporate social responsibilities to universities in their domain.</w:t>
      </w:r>
    </w:p>
    <w:p w:rsidR="006D1F09" w:rsidRPr="00210BD3" w:rsidRDefault="006D1F09" w:rsidP="007137CC">
      <w:pPr>
        <w:spacing w:after="0" w:line="240" w:lineRule="auto"/>
        <w:jc w:val="both"/>
        <w:rPr>
          <w:rFonts w:ascii="Times New Roman" w:hAnsi="Times New Roman" w:cs="Times New Roman"/>
          <w:b/>
          <w:sz w:val="26"/>
          <w:szCs w:val="26"/>
        </w:rPr>
      </w:pPr>
    </w:p>
    <w:p w:rsidR="006D1F09" w:rsidRPr="00210BD3" w:rsidRDefault="006D1F09" w:rsidP="007137CC">
      <w:pPr>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t>Conclusion</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The funding approach applied to educational system is very cardinal to the effective delivery of education at any level in the society. University education demands huge resources and high funding structure for effectiveness of the system. Given that university education is the engine room of sustainable growth and development, all hands must be on deck, to ensure that university education is effectively delivered in the society for sustainable national development.  Based on the findings of this study, it is concluded that there is a significant difference in the contributions of parents and corporate bodies/companies to university education in Nigeria. It is also concluded that parents contributed to university education more than the corporate bodies/companies, which implies that parents contributed to </w:t>
      </w:r>
      <w:r w:rsidRPr="00210BD3">
        <w:rPr>
          <w:rFonts w:ascii="Times New Roman" w:hAnsi="Times New Roman" w:cs="Times New Roman"/>
          <w:sz w:val="26"/>
          <w:szCs w:val="26"/>
        </w:rPr>
        <w:lastRenderedPageBreak/>
        <w:t>sustainable national development than corporate bodies/companies.</w:t>
      </w:r>
    </w:p>
    <w:p w:rsidR="006D1F09" w:rsidRPr="00210BD3" w:rsidRDefault="006D1F09" w:rsidP="007137CC">
      <w:pPr>
        <w:spacing w:after="0" w:line="240" w:lineRule="auto"/>
        <w:jc w:val="both"/>
        <w:rPr>
          <w:rFonts w:ascii="Times New Roman" w:hAnsi="Times New Roman" w:cs="Times New Roman"/>
          <w:b/>
          <w:sz w:val="26"/>
          <w:szCs w:val="26"/>
        </w:rPr>
      </w:pP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b/>
          <w:sz w:val="26"/>
          <w:szCs w:val="26"/>
        </w:rPr>
        <w:t>Recommendations</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1. Government should devise strategies to increase or improve the purchasing power of households so that more parent would be able to sent their children to universities, as this would increase parents’ contributions to university education in the country </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2. The universities should improve their partnership with non-governmental </w:t>
      </w:r>
      <w:r w:rsidRPr="00210BD3">
        <w:rPr>
          <w:rFonts w:ascii="Times New Roman" w:hAnsi="Times New Roman" w:cs="Times New Roman"/>
          <w:sz w:val="26"/>
          <w:szCs w:val="26"/>
        </w:rPr>
        <w:lastRenderedPageBreak/>
        <w:t>organizations and other corporate organization, as this would motivate corporate organizations to fund university education through students’ scholarship, donations and consultancy services among others</w:t>
      </w:r>
    </w:p>
    <w:p w:rsidR="006D1F09" w:rsidRPr="00210BD3" w:rsidRDefault="006D1F09"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3. There should be proper orientation and sensitization on the need to adopt cost-sharing approach to university funding, as this would enhance effective delivery of university education for sustainable national development in Nigeria.</w:t>
      </w:r>
    </w:p>
    <w:p w:rsidR="00E5538A" w:rsidRDefault="00E5538A" w:rsidP="007137CC">
      <w:pPr>
        <w:spacing w:line="240" w:lineRule="auto"/>
        <w:rPr>
          <w:rFonts w:ascii="Times New Roman" w:hAnsi="Times New Roman" w:cs="Times New Roman"/>
          <w:b/>
          <w:sz w:val="26"/>
          <w:szCs w:val="26"/>
        </w:rPr>
        <w:sectPr w:rsidR="00E5538A" w:rsidSect="00E5538A">
          <w:type w:val="continuous"/>
          <w:pgSz w:w="12240" w:h="15840" w:code="1"/>
          <w:pgMar w:top="1440" w:right="1440" w:bottom="1440" w:left="1440" w:header="706" w:footer="706" w:gutter="0"/>
          <w:cols w:num="2" w:space="708"/>
          <w:docGrid w:linePitch="360"/>
        </w:sectPr>
      </w:pPr>
    </w:p>
    <w:p w:rsidR="00E5538A" w:rsidRDefault="00E5538A" w:rsidP="007137CC">
      <w:pPr>
        <w:spacing w:line="240" w:lineRule="auto"/>
        <w:rPr>
          <w:rFonts w:ascii="Times New Roman" w:hAnsi="Times New Roman" w:cs="Times New Roman"/>
          <w:b/>
          <w:sz w:val="26"/>
          <w:szCs w:val="26"/>
        </w:rPr>
      </w:pPr>
    </w:p>
    <w:p w:rsidR="00E5538A" w:rsidRDefault="00E5538A" w:rsidP="007137CC">
      <w:pPr>
        <w:rPr>
          <w:rFonts w:ascii="Times New Roman" w:hAnsi="Times New Roman" w:cs="Times New Roman"/>
          <w:b/>
          <w:sz w:val="26"/>
          <w:szCs w:val="26"/>
        </w:rPr>
      </w:pPr>
      <w:r>
        <w:rPr>
          <w:rFonts w:ascii="Times New Roman" w:hAnsi="Times New Roman" w:cs="Times New Roman"/>
          <w:b/>
          <w:sz w:val="26"/>
          <w:szCs w:val="26"/>
        </w:rPr>
        <w:br w:type="page"/>
      </w:r>
    </w:p>
    <w:p w:rsidR="006D1F09" w:rsidRPr="00E5538A" w:rsidRDefault="007E14F7" w:rsidP="007137CC">
      <w:pPr>
        <w:spacing w:line="240" w:lineRule="auto"/>
        <w:rPr>
          <w:rFonts w:ascii="Times New Roman" w:hAnsi="Times New Roman" w:cs="Times New Roman"/>
          <w:b/>
          <w:sz w:val="26"/>
          <w:szCs w:val="26"/>
        </w:rPr>
      </w:pPr>
      <w:r w:rsidRPr="00210BD3">
        <w:rPr>
          <w:rFonts w:ascii="Times New Roman" w:hAnsi="Times New Roman" w:cs="Times New Roman"/>
          <w:b/>
          <w:sz w:val="26"/>
          <w:szCs w:val="26"/>
        </w:rPr>
        <w:lastRenderedPageBreak/>
        <w:t>References</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Abubakar, A.B. (2013). Education and sustainable national development in Nigeria.Challenges and way forward.</w:t>
      </w:r>
      <w:r w:rsidRPr="00210BD3">
        <w:rPr>
          <w:rFonts w:ascii="Times New Roman" w:hAnsi="Times New Roman" w:cs="Times New Roman"/>
          <w:i/>
          <w:sz w:val="26"/>
          <w:szCs w:val="26"/>
        </w:rPr>
        <w:t>Mediterranean Journal of Social Sciences</w:t>
      </w:r>
      <w:r w:rsidRPr="00210BD3">
        <w:rPr>
          <w:rFonts w:ascii="Times New Roman" w:hAnsi="Times New Roman" w:cs="Times New Roman"/>
          <w:sz w:val="26"/>
          <w:szCs w:val="26"/>
        </w:rPr>
        <w:t xml:space="preserve">, </w:t>
      </w:r>
      <w:r w:rsidRPr="00210BD3">
        <w:rPr>
          <w:rFonts w:ascii="Times New Roman" w:hAnsi="Times New Roman" w:cs="Times New Roman"/>
          <w:i/>
          <w:iCs/>
          <w:sz w:val="26"/>
          <w:szCs w:val="26"/>
        </w:rPr>
        <w:t>4</w:t>
      </w:r>
      <w:r w:rsidRPr="00210BD3">
        <w:rPr>
          <w:rFonts w:ascii="Times New Roman" w:hAnsi="Times New Roman" w:cs="Times New Roman"/>
          <w:sz w:val="26"/>
          <w:szCs w:val="26"/>
        </w:rPr>
        <w:t>(8), 147-152.</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iCs/>
          <w:sz w:val="26"/>
          <w:szCs w:val="26"/>
        </w:rPr>
      </w:pPr>
      <w:r w:rsidRPr="00210BD3">
        <w:rPr>
          <w:rFonts w:ascii="Times New Roman" w:hAnsi="Times New Roman" w:cs="Times New Roman"/>
          <w:bCs/>
          <w:sz w:val="26"/>
          <w:szCs w:val="26"/>
        </w:rPr>
        <w:t xml:space="preserve">Adeniyi, E. O &amp; Taiwo, S. A. (2011). Funding higher education in Nigeria through cost sharing: Perceptions of lecturers, students and parents. </w:t>
      </w:r>
      <w:r w:rsidRPr="00210BD3">
        <w:rPr>
          <w:rFonts w:ascii="Times New Roman" w:hAnsi="Times New Roman" w:cs="Times New Roman"/>
          <w:i/>
          <w:iCs/>
          <w:sz w:val="26"/>
          <w:szCs w:val="26"/>
        </w:rPr>
        <w:t>European Journal of Social Sciences</w:t>
      </w:r>
      <w:r w:rsidRPr="00210BD3">
        <w:rPr>
          <w:rFonts w:ascii="Times New Roman" w:hAnsi="Times New Roman" w:cs="Times New Roman"/>
          <w:sz w:val="26"/>
          <w:szCs w:val="26"/>
        </w:rPr>
        <w:t>,</w:t>
      </w:r>
      <w:r w:rsidRPr="00210BD3">
        <w:rPr>
          <w:rFonts w:ascii="Times New Roman" w:hAnsi="Times New Roman" w:cs="Times New Roman"/>
          <w:i/>
          <w:sz w:val="26"/>
          <w:szCs w:val="26"/>
        </w:rPr>
        <w:t>24</w:t>
      </w:r>
      <w:r w:rsidRPr="00210BD3">
        <w:rPr>
          <w:rFonts w:ascii="Times New Roman" w:hAnsi="Times New Roman" w:cs="Times New Roman"/>
          <w:iCs/>
          <w:sz w:val="26"/>
          <w:szCs w:val="26"/>
        </w:rPr>
        <w:t>(4), 471-482.</w:t>
      </w:r>
    </w:p>
    <w:p w:rsidR="006D1F09" w:rsidRPr="00210BD3" w:rsidRDefault="006D1F09" w:rsidP="00750353">
      <w:pPr>
        <w:autoSpaceDE w:val="0"/>
        <w:autoSpaceDN w:val="0"/>
        <w:adjustRightInd w:val="0"/>
        <w:spacing w:after="0" w:line="240" w:lineRule="auto"/>
        <w:ind w:left="720" w:hanging="720"/>
        <w:rPr>
          <w:rFonts w:ascii="Times New Roman" w:hAnsi="Times New Roman" w:cs="Times New Roman"/>
          <w:sz w:val="26"/>
          <w:szCs w:val="26"/>
        </w:rPr>
      </w:pPr>
      <w:r w:rsidRPr="00210BD3">
        <w:rPr>
          <w:rFonts w:ascii="Times New Roman" w:hAnsi="Times New Roman" w:cs="Times New Roman"/>
          <w:sz w:val="26"/>
          <w:szCs w:val="26"/>
        </w:rPr>
        <w:t>Age, D. S. (2005).</w:t>
      </w:r>
      <w:r w:rsidRPr="00210BD3">
        <w:rPr>
          <w:rFonts w:ascii="Times New Roman" w:hAnsi="Times New Roman" w:cs="Times New Roman"/>
          <w:i/>
          <w:sz w:val="26"/>
          <w:szCs w:val="26"/>
        </w:rPr>
        <w:t>Towards sustainable development of Nigeria</w:t>
      </w:r>
      <w:r w:rsidRPr="00210BD3">
        <w:rPr>
          <w:rFonts w:ascii="Times New Roman" w:hAnsi="Times New Roman" w:cs="Times New Roman"/>
          <w:sz w:val="26"/>
          <w:szCs w:val="26"/>
        </w:rPr>
        <w:t>. Lagos, Nigeria: CSS Book shops.</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Ahmed, 2013).</w:t>
      </w:r>
      <w:r w:rsidRPr="00210BD3">
        <w:rPr>
          <w:rFonts w:ascii="Times New Roman" w:hAnsi="Times New Roman" w:cs="Times New Roman"/>
          <w:iCs/>
          <w:sz w:val="26"/>
          <w:szCs w:val="26"/>
        </w:rPr>
        <w:t>Nigeria education sector analysis: An analytical synthesis of performance and main issues</w:t>
      </w:r>
      <w:r w:rsidRPr="00210BD3">
        <w:rPr>
          <w:rFonts w:ascii="Times New Roman" w:hAnsi="Times New Roman" w:cs="Times New Roman"/>
          <w:i/>
          <w:iCs/>
          <w:sz w:val="26"/>
          <w:szCs w:val="26"/>
        </w:rPr>
        <w:t>. Higher Education Policy</w:t>
      </w:r>
      <w:r w:rsidRPr="00210BD3">
        <w:rPr>
          <w:rFonts w:ascii="Times New Roman" w:hAnsi="Times New Roman" w:cs="Times New Roman"/>
          <w:sz w:val="26"/>
          <w:szCs w:val="26"/>
        </w:rPr>
        <w:t xml:space="preserve">, </w:t>
      </w:r>
      <w:r w:rsidRPr="00210BD3">
        <w:rPr>
          <w:rFonts w:ascii="Times New Roman" w:hAnsi="Times New Roman" w:cs="Times New Roman"/>
          <w:i/>
          <w:iCs/>
          <w:sz w:val="26"/>
          <w:szCs w:val="26"/>
        </w:rPr>
        <w:t>16</w:t>
      </w:r>
      <w:r w:rsidRPr="00210BD3">
        <w:rPr>
          <w:rFonts w:ascii="Times New Roman" w:hAnsi="Times New Roman" w:cs="Times New Roman"/>
          <w:sz w:val="26"/>
          <w:szCs w:val="26"/>
        </w:rPr>
        <w:t>, 259 – 281.</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Ahmed, A. &amp; Adepoju, P. (2013). New dimensions in educa</w:t>
      </w:r>
      <w:r w:rsidR="00480472" w:rsidRPr="00210BD3">
        <w:rPr>
          <w:rFonts w:ascii="Times New Roman" w:hAnsi="Times New Roman" w:cs="Times New Roman"/>
          <w:sz w:val="26"/>
          <w:szCs w:val="26"/>
        </w:rPr>
        <w:t>tional financing: The Nigerian education b</w:t>
      </w:r>
      <w:r w:rsidRPr="00210BD3">
        <w:rPr>
          <w:rFonts w:ascii="Times New Roman" w:hAnsi="Times New Roman" w:cs="Times New Roman"/>
          <w:sz w:val="26"/>
          <w:szCs w:val="26"/>
        </w:rPr>
        <w:t xml:space="preserve">ank. </w:t>
      </w:r>
      <w:r w:rsidRPr="00210BD3">
        <w:rPr>
          <w:rFonts w:ascii="Times New Roman" w:hAnsi="Times New Roman" w:cs="Times New Roman"/>
          <w:i/>
          <w:iCs/>
          <w:sz w:val="26"/>
          <w:szCs w:val="26"/>
        </w:rPr>
        <w:t>Higher Education</w:t>
      </w:r>
      <w:r w:rsidRPr="00210BD3">
        <w:rPr>
          <w:rFonts w:ascii="Times New Roman" w:hAnsi="Times New Roman" w:cs="Times New Roman"/>
          <w:sz w:val="26"/>
          <w:szCs w:val="26"/>
        </w:rPr>
        <w:t>,</w:t>
      </w:r>
      <w:r w:rsidRPr="00210BD3">
        <w:rPr>
          <w:rFonts w:ascii="Times New Roman" w:hAnsi="Times New Roman" w:cs="Times New Roman"/>
          <w:i/>
          <w:iCs/>
          <w:sz w:val="26"/>
          <w:szCs w:val="26"/>
        </w:rPr>
        <w:t xml:space="preserve"> 35</w:t>
      </w:r>
      <w:r w:rsidRPr="00210BD3">
        <w:rPr>
          <w:rFonts w:ascii="Times New Roman" w:hAnsi="Times New Roman" w:cs="Times New Roman"/>
          <w:sz w:val="26"/>
          <w:szCs w:val="26"/>
        </w:rPr>
        <w:t>, 422 – 433.</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Al-Roubaie, M. (2013). Education and sustainable development: a political analysis. </w:t>
      </w:r>
      <w:r w:rsidRPr="00210BD3">
        <w:rPr>
          <w:rFonts w:ascii="Times New Roman" w:hAnsi="Times New Roman" w:cs="Times New Roman"/>
          <w:i/>
          <w:iCs/>
          <w:sz w:val="26"/>
          <w:szCs w:val="26"/>
        </w:rPr>
        <w:t>Educational Review</w:t>
      </w:r>
      <w:r w:rsidRPr="00210BD3">
        <w:rPr>
          <w:rFonts w:ascii="Times New Roman" w:hAnsi="Times New Roman" w:cs="Times New Roman"/>
          <w:sz w:val="26"/>
          <w:szCs w:val="26"/>
        </w:rPr>
        <w:t xml:space="preserve">, </w:t>
      </w:r>
      <w:r w:rsidRPr="00210BD3">
        <w:rPr>
          <w:rFonts w:ascii="Times New Roman" w:hAnsi="Times New Roman" w:cs="Times New Roman"/>
          <w:i/>
          <w:iCs/>
          <w:sz w:val="26"/>
          <w:szCs w:val="26"/>
        </w:rPr>
        <w:t>58</w:t>
      </w:r>
      <w:r w:rsidRPr="00210BD3">
        <w:rPr>
          <w:rFonts w:ascii="Times New Roman" w:hAnsi="Times New Roman" w:cs="Times New Roman"/>
          <w:sz w:val="26"/>
          <w:szCs w:val="26"/>
        </w:rPr>
        <w:t>(3), 498-510.</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 xml:space="preserve">Ashida, A. (2022). </w:t>
      </w:r>
      <w:r w:rsidRPr="00210BD3">
        <w:rPr>
          <w:rFonts w:ascii="Times New Roman" w:hAnsi="Times New Roman" w:cs="Times New Roman"/>
          <w:i/>
          <w:color w:val="222222"/>
          <w:sz w:val="26"/>
          <w:szCs w:val="26"/>
          <w:shd w:val="clear" w:color="auto" w:fill="FFFFFF"/>
        </w:rPr>
        <w:t xml:space="preserve">The Role of Higher Education in Achieving the Sustainable Development Goals. In </w:t>
      </w:r>
      <w:r w:rsidRPr="00210BD3">
        <w:rPr>
          <w:rFonts w:ascii="Times New Roman" w:hAnsi="Times New Roman" w:cs="Times New Roman"/>
          <w:i/>
          <w:iCs/>
          <w:color w:val="222222"/>
          <w:sz w:val="26"/>
          <w:szCs w:val="26"/>
          <w:shd w:val="clear" w:color="auto" w:fill="FFFFFF"/>
        </w:rPr>
        <w:t>sustainable development disciplines for humanity: Breaking down the 5Ps—people, planet, prosperity, peace, and partnerships</w:t>
      </w:r>
      <w:r w:rsidRPr="00210BD3">
        <w:rPr>
          <w:rFonts w:ascii="Times New Roman" w:hAnsi="Times New Roman" w:cs="Times New Roman"/>
          <w:color w:val="222222"/>
          <w:sz w:val="26"/>
          <w:szCs w:val="26"/>
          <w:shd w:val="clear" w:color="auto" w:fill="FFFFFF"/>
        </w:rPr>
        <w:t xml:space="preserve">. Singapore: Springer Nature Singapore. </w:t>
      </w:r>
      <w:hyperlink r:id="rId34" w:history="1">
        <w:r w:rsidRPr="00210BD3">
          <w:rPr>
            <w:rStyle w:val="15"/>
            <w:rFonts w:ascii="Times New Roman" w:hAnsi="Times New Roman" w:cs="Times New Roman"/>
            <w:sz w:val="26"/>
            <w:szCs w:val="26"/>
          </w:rPr>
          <w:t>https://doi.org/10.1007/978-981-19-4859-6_5</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Ayo-Sobowale, M. &amp; Akinyemi, S. (2011). Funding strategies for quality university education in Nigeria: The Principle of Fiscal Justice.</w:t>
      </w:r>
      <w:r w:rsidRPr="00210BD3">
        <w:rPr>
          <w:rFonts w:ascii="Times New Roman" w:hAnsi="Times New Roman" w:cs="Times New Roman"/>
          <w:bCs/>
          <w:i/>
          <w:sz w:val="26"/>
          <w:szCs w:val="26"/>
        </w:rPr>
        <w:t>Journal of Studies in Education</w:t>
      </w:r>
      <w:r w:rsidRPr="00210BD3">
        <w:rPr>
          <w:rFonts w:ascii="Times New Roman" w:hAnsi="Times New Roman" w:cs="Times New Roman"/>
          <w:bCs/>
          <w:sz w:val="26"/>
          <w:szCs w:val="26"/>
        </w:rPr>
        <w:t xml:space="preserve">, </w:t>
      </w:r>
      <w:r w:rsidRPr="00210BD3">
        <w:rPr>
          <w:rFonts w:ascii="Times New Roman" w:hAnsi="Times New Roman" w:cs="Times New Roman"/>
          <w:bCs/>
          <w:i/>
          <w:iCs/>
          <w:sz w:val="26"/>
          <w:szCs w:val="26"/>
        </w:rPr>
        <w:t>1</w:t>
      </w:r>
      <w:r w:rsidRPr="00210BD3">
        <w:rPr>
          <w:rFonts w:ascii="Times New Roman" w:hAnsi="Times New Roman" w:cs="Times New Roman"/>
          <w:bCs/>
          <w:sz w:val="26"/>
          <w:szCs w:val="26"/>
        </w:rPr>
        <w:t xml:space="preserve">(1), 1-13. </w:t>
      </w:r>
      <w:hyperlink r:id="rId35" w:history="1">
        <w:r w:rsidRPr="00210BD3">
          <w:rPr>
            <w:rStyle w:val="15"/>
            <w:rFonts w:ascii="Times New Roman" w:hAnsi="Times New Roman" w:cs="Times New Roman"/>
            <w:sz w:val="26"/>
            <w:szCs w:val="26"/>
          </w:rPr>
          <w:t>https://doi.org/10.5296/jse.v1i1.1031</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Babalola, J. B. (1998). Cost and financing of university education in Nigeria. </w:t>
      </w:r>
      <w:r w:rsidRPr="00210BD3">
        <w:rPr>
          <w:rFonts w:ascii="Times New Roman" w:hAnsi="Times New Roman" w:cs="Times New Roman"/>
          <w:i/>
          <w:iCs/>
          <w:sz w:val="26"/>
          <w:szCs w:val="26"/>
        </w:rPr>
        <w:t>Higher Education,</w:t>
      </w:r>
      <w:r w:rsidRPr="00210BD3">
        <w:rPr>
          <w:rFonts w:ascii="Times New Roman" w:hAnsi="Times New Roman" w:cs="Times New Roman"/>
          <w:i/>
          <w:sz w:val="26"/>
          <w:szCs w:val="26"/>
        </w:rPr>
        <w:t>36</w:t>
      </w:r>
      <w:r w:rsidRPr="00210BD3">
        <w:rPr>
          <w:rFonts w:ascii="Times New Roman" w:hAnsi="Times New Roman" w:cs="Times New Roman"/>
          <w:iCs/>
          <w:sz w:val="26"/>
          <w:szCs w:val="26"/>
        </w:rPr>
        <w:t>, 43-66.</w:t>
      </w:r>
      <w:hyperlink r:id="rId36" w:history="1">
        <w:r w:rsidRPr="00210BD3">
          <w:rPr>
            <w:rStyle w:val="15"/>
            <w:rFonts w:ascii="Times New Roman" w:hAnsi="Times New Roman" w:cs="Times New Roman"/>
            <w:sz w:val="26"/>
            <w:szCs w:val="26"/>
          </w:rPr>
          <w:t>https://doi.org/10.1023/A:1003190525479</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Bruntland Commission (1987).</w:t>
      </w:r>
      <w:r w:rsidRPr="00210BD3">
        <w:rPr>
          <w:rFonts w:ascii="Times New Roman" w:hAnsi="Times New Roman" w:cs="Times New Roman"/>
          <w:i/>
          <w:sz w:val="26"/>
          <w:szCs w:val="26"/>
        </w:rPr>
        <w:t>Development report on sustainable development.</w:t>
      </w:r>
      <w:r w:rsidRPr="00210BD3">
        <w:rPr>
          <w:rFonts w:ascii="Times New Roman" w:hAnsi="Times New Roman" w:cs="Times New Roman"/>
          <w:sz w:val="26"/>
          <w:szCs w:val="26"/>
        </w:rPr>
        <w:t xml:space="preserve"> New York: John Wiley Publishers</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333333"/>
          <w:sz w:val="26"/>
          <w:szCs w:val="26"/>
          <w:shd w:val="clear" w:color="auto" w:fill="FCFCFC"/>
        </w:rPr>
        <w:t>Chankseliani, M., &amp; McCowan, T. (2021).Higher education and the sustainable development goals.</w:t>
      </w:r>
      <w:r w:rsidRPr="00210BD3">
        <w:rPr>
          <w:rFonts w:ascii="Times New Roman" w:hAnsi="Times New Roman" w:cs="Times New Roman"/>
          <w:i/>
          <w:iCs/>
          <w:color w:val="333333"/>
          <w:sz w:val="26"/>
          <w:szCs w:val="26"/>
          <w:shd w:val="clear" w:color="auto" w:fill="FCFCFC"/>
        </w:rPr>
        <w:t>Higher Education,81</w:t>
      </w:r>
      <w:r w:rsidRPr="00210BD3">
        <w:rPr>
          <w:rFonts w:ascii="Times New Roman" w:hAnsi="Times New Roman" w:cs="Times New Roman"/>
          <w:color w:val="333333"/>
          <w:sz w:val="26"/>
          <w:szCs w:val="26"/>
          <w:shd w:val="clear" w:color="auto" w:fill="FCFCFC"/>
        </w:rPr>
        <w:t xml:space="preserve">, 1–8. </w:t>
      </w:r>
      <w:hyperlink r:id="rId37" w:history="1">
        <w:r w:rsidRPr="00210BD3">
          <w:rPr>
            <w:rStyle w:val="15"/>
            <w:rFonts w:ascii="Times New Roman" w:hAnsi="Times New Roman" w:cs="Times New Roman"/>
            <w:sz w:val="26"/>
            <w:szCs w:val="26"/>
            <w:shd w:val="clear" w:color="auto" w:fill="FCFCFC"/>
          </w:rPr>
          <w:t>https://doi.org/10.1007/s10734-020-00652-w</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Chinyere, A., &amp; Goodluck, W. (2015).Qualitative university education and the problem of under-funding in Nigeria.</w:t>
      </w:r>
      <w:r w:rsidRPr="00210BD3">
        <w:rPr>
          <w:rFonts w:ascii="Times New Roman" w:hAnsi="Times New Roman" w:cs="Times New Roman"/>
          <w:i/>
          <w:iCs/>
          <w:color w:val="222222"/>
          <w:sz w:val="26"/>
          <w:szCs w:val="26"/>
          <w:shd w:val="clear" w:color="auto" w:fill="FFFFFF"/>
        </w:rPr>
        <w:t>International Journal of Health and Rehabilitation Sciences</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5</w:t>
      </w:r>
      <w:r w:rsidRPr="00210BD3">
        <w:rPr>
          <w:rFonts w:ascii="Times New Roman" w:hAnsi="Times New Roman" w:cs="Times New Roman"/>
          <w:color w:val="222222"/>
          <w:sz w:val="26"/>
          <w:szCs w:val="26"/>
          <w:shd w:val="clear" w:color="auto" w:fill="FFFFFF"/>
        </w:rPr>
        <w:t>, 199-212.</w:t>
      </w:r>
      <w:hyperlink r:id="rId38" w:history="1">
        <w:r w:rsidRPr="00210BD3">
          <w:rPr>
            <w:rStyle w:val="15"/>
            <w:rFonts w:ascii="Times New Roman" w:hAnsi="Times New Roman" w:cs="Times New Roman"/>
            <w:sz w:val="26"/>
            <w:szCs w:val="26"/>
          </w:rPr>
          <w:t>https://doi.org/10.5296/ijhrs.v5i2.7840</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color w:val="222222"/>
          <w:sz w:val="26"/>
          <w:szCs w:val="26"/>
          <w:shd w:val="clear" w:color="auto" w:fill="FFFFFF"/>
        </w:rPr>
      </w:pPr>
      <w:r w:rsidRPr="00210BD3">
        <w:rPr>
          <w:rFonts w:ascii="Times New Roman" w:hAnsi="Times New Roman" w:cs="Times New Roman"/>
          <w:color w:val="222222"/>
          <w:sz w:val="26"/>
          <w:szCs w:val="26"/>
          <w:shd w:val="clear" w:color="auto" w:fill="FFFFFF"/>
        </w:rPr>
        <w:t>Ciegis, R., Ramanauskiene, J., &amp; Startiene, G. (2009).Theoretical reasoning of the use of indicators and indices for sustainable development assessment.</w:t>
      </w:r>
      <w:r w:rsidRPr="00210BD3">
        <w:rPr>
          <w:rFonts w:ascii="Times New Roman" w:hAnsi="Times New Roman" w:cs="Times New Roman"/>
          <w:i/>
          <w:iCs/>
          <w:color w:val="222222"/>
          <w:sz w:val="26"/>
          <w:szCs w:val="26"/>
          <w:shd w:val="clear" w:color="auto" w:fill="FFFFFF"/>
        </w:rPr>
        <w:t>Engineering Economics</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63</w:t>
      </w:r>
      <w:r w:rsidRPr="00210BD3">
        <w:rPr>
          <w:rFonts w:ascii="Times New Roman" w:hAnsi="Times New Roman" w:cs="Times New Roman"/>
          <w:color w:val="222222"/>
          <w:sz w:val="26"/>
          <w:szCs w:val="26"/>
          <w:shd w:val="clear" w:color="auto" w:fill="FFFFFF"/>
        </w:rPr>
        <w:t>(3), 33-44.</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Ehi, A. G. (2021 November, 8). Funding of university education in Nigeria.</w:t>
      </w:r>
      <w:hyperlink r:id="rId39" w:history="1">
        <w:r w:rsidRPr="00210BD3">
          <w:rPr>
            <w:rStyle w:val="15"/>
            <w:rFonts w:ascii="Times New Roman" w:hAnsi="Times New Roman" w:cs="Times New Roman"/>
            <w:sz w:val="26"/>
            <w:szCs w:val="26"/>
          </w:rPr>
          <w:t>https://guardian.ng/opinion/funding-of-university-education-in-nigeria/</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Ekeatte, S. O., Akeke, M. N. G., &amp; Ekpenyong, J. A. (2019).School finance management structure and effective delivery of 21st century secondary education in Cross River State.</w:t>
      </w:r>
      <w:r w:rsidRPr="00210BD3">
        <w:rPr>
          <w:rFonts w:ascii="Times New Roman" w:hAnsi="Times New Roman" w:cs="Times New Roman"/>
          <w:i/>
          <w:iCs/>
          <w:color w:val="222222"/>
          <w:sz w:val="26"/>
          <w:szCs w:val="26"/>
          <w:shd w:val="clear" w:color="auto" w:fill="FFFFFF"/>
        </w:rPr>
        <w:t>Global Journal of Educational Research</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18</w:t>
      </w:r>
      <w:r w:rsidRPr="00210BD3">
        <w:rPr>
          <w:rFonts w:ascii="Times New Roman" w:hAnsi="Times New Roman" w:cs="Times New Roman"/>
          <w:color w:val="222222"/>
          <w:sz w:val="26"/>
          <w:szCs w:val="26"/>
          <w:shd w:val="clear" w:color="auto" w:fill="FFFFFF"/>
        </w:rPr>
        <w:t>(2), 71-79.</w:t>
      </w:r>
      <w:hyperlink r:id="rId40" w:history="1">
        <w:r w:rsidRPr="00210BD3">
          <w:rPr>
            <w:rStyle w:val="15"/>
            <w:rFonts w:ascii="Times New Roman" w:hAnsi="Times New Roman" w:cs="Times New Roman"/>
            <w:sz w:val="26"/>
            <w:szCs w:val="26"/>
          </w:rPr>
          <w:t>https://doi.org/10.4314/gjedr.v18i2.3</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lastRenderedPageBreak/>
        <w:t xml:space="preserve">Ekpoh, U., &amp; Okpa, O. (2017). Diversification of sources of funding university education for sustainability: Challenges and strategies for improvement. </w:t>
      </w:r>
      <w:r w:rsidRPr="00210BD3">
        <w:rPr>
          <w:rFonts w:ascii="Times New Roman" w:hAnsi="Times New Roman" w:cs="Times New Roman"/>
          <w:i/>
          <w:iCs/>
          <w:color w:val="222222"/>
          <w:sz w:val="26"/>
          <w:szCs w:val="26"/>
          <w:shd w:val="clear" w:color="auto" w:fill="FFFFFF"/>
        </w:rPr>
        <w:t>Journal of Education, Society and Behavioural Science</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21</w:t>
      </w:r>
      <w:r w:rsidRPr="00210BD3">
        <w:rPr>
          <w:rFonts w:ascii="Times New Roman" w:hAnsi="Times New Roman" w:cs="Times New Roman"/>
          <w:color w:val="222222"/>
          <w:sz w:val="26"/>
          <w:szCs w:val="26"/>
          <w:shd w:val="clear" w:color="auto" w:fill="FFFFFF"/>
        </w:rPr>
        <w:t xml:space="preserve">(2), 1-8. </w:t>
      </w:r>
      <w:hyperlink r:id="rId41" w:history="1">
        <w:r w:rsidRPr="00210BD3">
          <w:rPr>
            <w:rStyle w:val="15"/>
            <w:rFonts w:ascii="Times New Roman" w:hAnsi="Times New Roman" w:cs="Times New Roman"/>
            <w:sz w:val="26"/>
            <w:szCs w:val="26"/>
          </w:rPr>
          <w:t>https://doi.org/10.9734/JESBS/2017/34494</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Eteng, F. O., &amp; Anam, B. E. (2019).The Challenges of Ending Poverty in Cross River State, Nigeria.</w:t>
      </w:r>
      <w:r w:rsidRPr="00210BD3">
        <w:rPr>
          <w:rFonts w:ascii="Times New Roman" w:hAnsi="Times New Roman" w:cs="Times New Roman"/>
          <w:i/>
          <w:sz w:val="26"/>
          <w:szCs w:val="26"/>
        </w:rPr>
        <w:t>International Journal of Business and Management Invention, 8(</w:t>
      </w:r>
      <w:r w:rsidRPr="00210BD3">
        <w:rPr>
          <w:rFonts w:ascii="Times New Roman" w:hAnsi="Times New Roman" w:cs="Times New Roman"/>
          <w:sz w:val="26"/>
          <w:szCs w:val="26"/>
        </w:rPr>
        <w:t xml:space="preserve">3), 47-55. </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Frugoli, P. A., Almeida, C. M. V. B., Agostinho, F., Giannetti, B. F., &amp; Huisingh, D. (2015). Can measures of well-being and progress help societies to achieve sustainable development?.</w:t>
      </w:r>
      <w:r w:rsidRPr="00210BD3">
        <w:rPr>
          <w:rFonts w:ascii="Times New Roman" w:hAnsi="Times New Roman" w:cs="Times New Roman"/>
          <w:i/>
          <w:iCs/>
          <w:color w:val="222222"/>
          <w:sz w:val="26"/>
          <w:szCs w:val="26"/>
          <w:shd w:val="clear" w:color="auto" w:fill="FFFFFF"/>
        </w:rPr>
        <w:t>Journal of Cleaner Production</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90</w:t>
      </w:r>
      <w:r w:rsidRPr="00210BD3">
        <w:rPr>
          <w:rFonts w:ascii="Times New Roman" w:hAnsi="Times New Roman" w:cs="Times New Roman"/>
          <w:color w:val="222222"/>
          <w:sz w:val="26"/>
          <w:szCs w:val="26"/>
          <w:shd w:val="clear" w:color="auto" w:fill="FFFFFF"/>
        </w:rPr>
        <w:t>, 370-380.</w:t>
      </w:r>
      <w:hyperlink r:id="rId42" w:history="1">
        <w:r w:rsidRPr="00210BD3">
          <w:rPr>
            <w:rStyle w:val="15"/>
            <w:rFonts w:ascii="Times New Roman" w:hAnsi="Times New Roman" w:cs="Times New Roman"/>
            <w:sz w:val="26"/>
            <w:szCs w:val="26"/>
          </w:rPr>
          <w:t>https://doi.org/10.1016/j.jclepro.2014.11.076</w:t>
        </w:r>
      </w:hyperlink>
    </w:p>
    <w:p w:rsidR="006D1F09" w:rsidRPr="00210BD3" w:rsidRDefault="006D1F09" w:rsidP="00750353">
      <w:pPr>
        <w:pStyle w:val="Default"/>
        <w:ind w:left="720" w:hanging="720"/>
        <w:jc w:val="both"/>
        <w:rPr>
          <w:sz w:val="26"/>
          <w:szCs w:val="26"/>
        </w:rPr>
      </w:pPr>
      <w:r w:rsidRPr="00210BD3">
        <w:rPr>
          <w:sz w:val="26"/>
          <w:szCs w:val="26"/>
        </w:rPr>
        <w:t xml:space="preserve">Ipaye, S. (2007).A case for better educational founding in Nigeria </w:t>
      </w:r>
      <w:r w:rsidRPr="00210BD3">
        <w:rPr>
          <w:i/>
          <w:iCs/>
          <w:sz w:val="26"/>
          <w:szCs w:val="26"/>
        </w:rPr>
        <w:t xml:space="preserve">Daily Independent, </w:t>
      </w:r>
      <w:r w:rsidRPr="00210BD3">
        <w:rPr>
          <w:sz w:val="26"/>
          <w:szCs w:val="26"/>
        </w:rPr>
        <w:t>January, 28.</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Johnstone, D. B. (2003). Higher education finance and accessibility: Tuition fees and student loans in Sub-Saharan Africa. A case study prepared for a regional training workshop on </w:t>
      </w:r>
      <w:r w:rsidRPr="00210BD3">
        <w:rPr>
          <w:rFonts w:ascii="Times New Roman" w:hAnsi="Times New Roman" w:cs="Times New Roman"/>
          <w:i/>
          <w:iCs/>
          <w:sz w:val="26"/>
          <w:szCs w:val="26"/>
        </w:rPr>
        <w:t>Improving Tertiary Education in Sub-Saharan Africa: Things That Works</w:t>
      </w:r>
      <w:r w:rsidRPr="00210BD3">
        <w:rPr>
          <w:rFonts w:ascii="Times New Roman" w:hAnsi="Times New Roman" w:cs="Times New Roman"/>
          <w:sz w:val="26"/>
          <w:szCs w:val="26"/>
        </w:rPr>
        <w:t>! Accra, September 23-25:2003.</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Johnstone, D. B., (2000). The economics and politics of cost sharing in higher education: Comparative Perspectives. </w:t>
      </w:r>
      <w:r w:rsidRPr="00210BD3">
        <w:rPr>
          <w:rFonts w:ascii="Times New Roman" w:hAnsi="Times New Roman" w:cs="Times New Roman"/>
          <w:i/>
          <w:iCs/>
          <w:sz w:val="26"/>
          <w:szCs w:val="26"/>
        </w:rPr>
        <w:t>Economic of Education Review</w:t>
      </w:r>
      <w:r w:rsidRPr="00210BD3">
        <w:rPr>
          <w:rFonts w:ascii="Times New Roman" w:hAnsi="Times New Roman" w:cs="Times New Roman"/>
          <w:sz w:val="26"/>
          <w:szCs w:val="26"/>
        </w:rPr>
        <w:t>,</w:t>
      </w:r>
      <w:r w:rsidRPr="00210BD3">
        <w:rPr>
          <w:rFonts w:ascii="Times New Roman" w:hAnsi="Times New Roman" w:cs="Times New Roman"/>
          <w:i/>
          <w:iCs/>
          <w:sz w:val="26"/>
          <w:szCs w:val="26"/>
        </w:rPr>
        <w:t xml:space="preserve"> 23</w:t>
      </w:r>
      <w:r w:rsidRPr="00210BD3">
        <w:rPr>
          <w:rFonts w:ascii="Times New Roman" w:hAnsi="Times New Roman" w:cs="Times New Roman"/>
          <w:sz w:val="26"/>
          <w:szCs w:val="26"/>
        </w:rPr>
        <w:t>, 403 – 410.</w:t>
      </w:r>
      <w:hyperlink r:id="rId43" w:history="1">
        <w:r w:rsidRPr="00210BD3">
          <w:rPr>
            <w:rStyle w:val="15"/>
            <w:rFonts w:ascii="Times New Roman" w:hAnsi="Times New Roman" w:cs="Times New Roman"/>
            <w:sz w:val="26"/>
            <w:szCs w:val="26"/>
          </w:rPr>
          <w:t>https://doi.org/10.1016/j.econedurev.2003.09.004</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 xml:space="preserve">Kharazishvili, Y., Kwilinski, A., Grishnova, O., &amp; Dzwigol, H. (2020). Social safety of society for developing countries to meet sustainable development standards: Indicators, level, strategic benchmarks (with calculations based on the case study of Ukraine). </w:t>
      </w:r>
      <w:r w:rsidRPr="00210BD3">
        <w:rPr>
          <w:rFonts w:ascii="Times New Roman" w:hAnsi="Times New Roman" w:cs="Times New Roman"/>
          <w:i/>
          <w:iCs/>
          <w:color w:val="222222"/>
          <w:sz w:val="26"/>
          <w:szCs w:val="26"/>
          <w:shd w:val="clear" w:color="auto" w:fill="FFFFFF"/>
        </w:rPr>
        <w:t>Sustainability</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12</w:t>
      </w:r>
      <w:r w:rsidRPr="00210BD3">
        <w:rPr>
          <w:rFonts w:ascii="Times New Roman" w:hAnsi="Times New Roman" w:cs="Times New Roman"/>
          <w:color w:val="222222"/>
          <w:sz w:val="26"/>
          <w:szCs w:val="26"/>
          <w:shd w:val="clear" w:color="auto" w:fill="FFFFFF"/>
        </w:rPr>
        <w:t>(21), 8953.</w:t>
      </w:r>
      <w:hyperlink r:id="rId44" w:history="1">
        <w:r w:rsidRPr="00210BD3">
          <w:rPr>
            <w:rStyle w:val="15"/>
            <w:rFonts w:ascii="Times New Roman" w:hAnsi="Times New Roman" w:cs="Times New Roman"/>
            <w:sz w:val="26"/>
            <w:szCs w:val="26"/>
          </w:rPr>
          <w:t>https://doi.org/10.3390/su12218953</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Lemke, C., &amp; Bastini, K. (2020).Embracing multiple perspectives of sustainable development in a composite measure: The multilevel sustainable development index.</w:t>
      </w:r>
      <w:r w:rsidRPr="00210BD3">
        <w:rPr>
          <w:rFonts w:ascii="Times New Roman" w:hAnsi="Times New Roman" w:cs="Times New Roman"/>
          <w:i/>
          <w:iCs/>
          <w:color w:val="222222"/>
          <w:sz w:val="26"/>
          <w:szCs w:val="26"/>
          <w:shd w:val="clear" w:color="auto" w:fill="FFFFFF"/>
        </w:rPr>
        <w:t>Journal of Cleaner Production</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246</w:t>
      </w:r>
      <w:r w:rsidRPr="00210BD3">
        <w:rPr>
          <w:rFonts w:ascii="Times New Roman" w:hAnsi="Times New Roman" w:cs="Times New Roman"/>
          <w:color w:val="222222"/>
          <w:sz w:val="26"/>
          <w:szCs w:val="26"/>
          <w:shd w:val="clear" w:color="auto" w:fill="FFFFFF"/>
        </w:rPr>
        <w:t>, 118884.</w:t>
      </w:r>
      <w:hyperlink r:id="rId45" w:history="1">
        <w:r w:rsidRPr="00210BD3">
          <w:rPr>
            <w:rStyle w:val="15"/>
            <w:rFonts w:ascii="Times New Roman" w:hAnsi="Times New Roman" w:cs="Times New Roman"/>
            <w:sz w:val="26"/>
            <w:szCs w:val="26"/>
          </w:rPr>
          <w:t>https://doi.org/10.1016/j.jclepro.2019.118884</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Marcucci, P., Johnstone, D. B. &amp; Ngolovoi, M., (2008). Higher education cost-sharing, dual track tuition fees, and higher education access: The East African experience. </w:t>
      </w:r>
      <w:r w:rsidRPr="00210BD3">
        <w:rPr>
          <w:rFonts w:ascii="Times New Roman" w:hAnsi="Times New Roman" w:cs="Times New Roman"/>
          <w:i/>
          <w:iCs/>
          <w:sz w:val="26"/>
          <w:szCs w:val="26"/>
        </w:rPr>
        <w:t>Peabody Journal of Education</w:t>
      </w:r>
      <w:r w:rsidRPr="00210BD3">
        <w:rPr>
          <w:rFonts w:ascii="Times New Roman" w:hAnsi="Times New Roman" w:cs="Times New Roman"/>
          <w:sz w:val="26"/>
          <w:szCs w:val="26"/>
        </w:rPr>
        <w:t>,</w:t>
      </w:r>
      <w:r w:rsidRPr="00210BD3">
        <w:rPr>
          <w:rFonts w:ascii="Times New Roman" w:hAnsi="Times New Roman" w:cs="Times New Roman"/>
          <w:i/>
          <w:iCs/>
          <w:sz w:val="26"/>
          <w:szCs w:val="26"/>
        </w:rPr>
        <w:t xml:space="preserve"> 83</w:t>
      </w:r>
      <w:r w:rsidRPr="00210BD3">
        <w:rPr>
          <w:rFonts w:ascii="Times New Roman" w:hAnsi="Times New Roman" w:cs="Times New Roman"/>
          <w:sz w:val="26"/>
          <w:szCs w:val="26"/>
        </w:rPr>
        <w:t xml:space="preserve">(1), 101 – 116. </w:t>
      </w:r>
      <w:hyperlink r:id="rId46" w:history="1">
        <w:r w:rsidRPr="00210BD3">
          <w:rPr>
            <w:rStyle w:val="15"/>
            <w:rFonts w:ascii="Times New Roman" w:hAnsi="Times New Roman" w:cs="Times New Roman"/>
            <w:sz w:val="26"/>
            <w:szCs w:val="26"/>
          </w:rPr>
          <w:t>https://doi.org/10.1080/01619560701649232</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Munasinghe, S. (2004).</w:t>
      </w:r>
      <w:r w:rsidRPr="00210BD3">
        <w:rPr>
          <w:rFonts w:ascii="Times New Roman" w:hAnsi="Times New Roman" w:cs="Times New Roman"/>
          <w:i/>
          <w:sz w:val="26"/>
          <w:szCs w:val="26"/>
        </w:rPr>
        <w:t>Effective instructions through dynamic discipline.</w:t>
      </w:r>
      <w:r w:rsidRPr="00210BD3">
        <w:rPr>
          <w:rFonts w:ascii="Times New Roman" w:hAnsi="Times New Roman" w:cs="Times New Roman"/>
          <w:sz w:val="26"/>
          <w:szCs w:val="26"/>
        </w:rPr>
        <w:t xml:space="preserve"> Ohio: Charles E. Merill.</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Nwachukwu, P.  O. (2014).Funding education for sustainable development in Nigeria: Challenges and the way forward</w:t>
      </w:r>
      <w:r w:rsidRPr="00210BD3">
        <w:rPr>
          <w:rFonts w:ascii="Times New Roman" w:hAnsi="Times New Roman" w:cs="Times New Roman"/>
          <w:i/>
          <w:sz w:val="26"/>
          <w:szCs w:val="26"/>
        </w:rPr>
        <w:t>. Journal of Education and Practice,</w:t>
      </w:r>
      <w:r w:rsidRPr="00210BD3">
        <w:rPr>
          <w:rFonts w:ascii="Times New Roman" w:hAnsi="Times New Roman" w:cs="Times New Roman"/>
          <w:sz w:val="26"/>
          <w:szCs w:val="26"/>
        </w:rPr>
        <w:t xml:space="preserve"> 5(20), 51-56.</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Nwakanma, E., &amp; Igbe, J. I. (2020).Poverty and coping strategies of unemployed youths in Cross River State, Nigeria.</w:t>
      </w:r>
      <w:r w:rsidRPr="00210BD3">
        <w:rPr>
          <w:rFonts w:ascii="Times New Roman" w:hAnsi="Times New Roman" w:cs="Times New Roman"/>
          <w:i/>
          <w:sz w:val="26"/>
          <w:szCs w:val="26"/>
        </w:rPr>
        <w:t>Current Research Journal of Social Sciences, 3</w:t>
      </w:r>
      <w:r w:rsidRPr="00210BD3">
        <w:rPr>
          <w:rFonts w:ascii="Times New Roman" w:hAnsi="Times New Roman" w:cs="Times New Roman"/>
          <w:sz w:val="26"/>
          <w:szCs w:val="26"/>
        </w:rPr>
        <w:t>(2), No. (2), 262-279.</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Obasi, I. N., &amp; Eboh, E. C. (2002). </w:t>
      </w:r>
      <w:r w:rsidRPr="00210BD3">
        <w:rPr>
          <w:rFonts w:ascii="Times New Roman" w:hAnsi="Times New Roman" w:cs="Times New Roman"/>
          <w:i/>
          <w:sz w:val="26"/>
          <w:szCs w:val="26"/>
        </w:rPr>
        <w:t>Cost sharing crises in Nigerian universities: policy lesson from an empirical study</w:t>
      </w:r>
      <w:r w:rsidRPr="00210BD3">
        <w:rPr>
          <w:rFonts w:ascii="Times New Roman" w:hAnsi="Times New Roman" w:cs="Times New Roman"/>
          <w:sz w:val="26"/>
          <w:szCs w:val="26"/>
        </w:rPr>
        <w:t>. Ghana: Association of African Universities</w:t>
      </w:r>
    </w:p>
    <w:p w:rsidR="006D1F09" w:rsidRPr="00210BD3" w:rsidRDefault="006D1F09" w:rsidP="00750353">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lastRenderedPageBreak/>
        <w:t>Ogbogu, C. O. (2011). Modes of funding Nigerian universities and the implications on performance.</w:t>
      </w:r>
      <w:r w:rsidRPr="00210BD3">
        <w:rPr>
          <w:rFonts w:ascii="Times New Roman" w:hAnsi="Times New Roman" w:cs="Times New Roman"/>
          <w:bCs/>
          <w:i/>
          <w:iCs/>
          <w:sz w:val="26"/>
          <w:szCs w:val="26"/>
        </w:rPr>
        <w:t>Journal of International Education Research</w:t>
      </w:r>
      <w:r w:rsidRPr="00210BD3">
        <w:rPr>
          <w:rFonts w:ascii="Times New Roman" w:hAnsi="Times New Roman" w:cs="Times New Roman"/>
          <w:bCs/>
          <w:sz w:val="26"/>
          <w:szCs w:val="26"/>
        </w:rPr>
        <w:t>,</w:t>
      </w:r>
      <w:r w:rsidRPr="00210BD3">
        <w:rPr>
          <w:rFonts w:ascii="Times New Roman" w:hAnsi="Times New Roman" w:cs="Times New Roman"/>
          <w:bCs/>
          <w:i/>
          <w:sz w:val="26"/>
          <w:szCs w:val="26"/>
        </w:rPr>
        <w:t>7</w:t>
      </w:r>
      <w:r w:rsidRPr="00210BD3">
        <w:rPr>
          <w:rFonts w:ascii="Times New Roman" w:hAnsi="Times New Roman" w:cs="Times New Roman"/>
          <w:bCs/>
          <w:iCs/>
          <w:sz w:val="26"/>
          <w:szCs w:val="26"/>
        </w:rPr>
        <w:t>(4), 75-81.</w:t>
      </w:r>
      <w:hyperlink r:id="rId47" w:history="1">
        <w:r w:rsidRPr="00210BD3">
          <w:rPr>
            <w:rStyle w:val="15"/>
            <w:rFonts w:ascii="Times New Roman" w:hAnsi="Times New Roman" w:cs="Times New Roman"/>
            <w:sz w:val="26"/>
            <w:szCs w:val="26"/>
          </w:rPr>
          <w:t>https://doi.org/10.19030/jier.v7i4.6051</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Ogunyinka, E. K. (2013). Higher education funding and cost sharing: case study of universities in Nigeria. </w:t>
      </w:r>
      <w:r w:rsidRPr="00210BD3">
        <w:rPr>
          <w:rFonts w:ascii="Times New Roman" w:hAnsi="Times New Roman" w:cs="Times New Roman"/>
          <w:bCs/>
          <w:i/>
          <w:sz w:val="26"/>
          <w:szCs w:val="26"/>
        </w:rPr>
        <w:t>Academic Research International</w:t>
      </w:r>
      <w:r w:rsidRPr="00210BD3">
        <w:rPr>
          <w:rFonts w:ascii="Times New Roman" w:hAnsi="Times New Roman" w:cs="Times New Roman"/>
          <w:bCs/>
          <w:iCs/>
          <w:sz w:val="26"/>
          <w:szCs w:val="26"/>
        </w:rPr>
        <w:t>,</w:t>
      </w:r>
      <w:r w:rsidRPr="00210BD3">
        <w:rPr>
          <w:rFonts w:ascii="Times New Roman" w:hAnsi="Times New Roman" w:cs="Times New Roman"/>
          <w:bCs/>
          <w:i/>
          <w:iCs/>
          <w:sz w:val="26"/>
          <w:szCs w:val="26"/>
        </w:rPr>
        <w:t>4</w:t>
      </w:r>
      <w:r w:rsidRPr="00210BD3">
        <w:rPr>
          <w:rFonts w:ascii="Times New Roman" w:hAnsi="Times New Roman" w:cs="Times New Roman"/>
          <w:bCs/>
          <w:sz w:val="26"/>
          <w:szCs w:val="26"/>
        </w:rPr>
        <w:t>(5), 522-530.</w:t>
      </w:r>
    </w:p>
    <w:p w:rsidR="006D1F09" w:rsidRPr="00210BD3" w:rsidRDefault="006D1F09" w:rsidP="00750353">
      <w:pPr>
        <w:pStyle w:val="Default"/>
        <w:ind w:left="720" w:hanging="720"/>
        <w:jc w:val="both"/>
        <w:rPr>
          <w:sz w:val="26"/>
          <w:szCs w:val="26"/>
        </w:rPr>
      </w:pPr>
      <w:r w:rsidRPr="00210BD3">
        <w:rPr>
          <w:sz w:val="26"/>
          <w:szCs w:val="26"/>
        </w:rPr>
        <w:t xml:space="preserve">Okojie, A. (2007). </w:t>
      </w:r>
      <w:r w:rsidRPr="00210BD3">
        <w:rPr>
          <w:i/>
          <w:iCs/>
          <w:sz w:val="26"/>
          <w:szCs w:val="26"/>
        </w:rPr>
        <w:t xml:space="preserve">Public expenditure on education in Nigeria: Issues, estimates and some implications. </w:t>
      </w:r>
      <w:r w:rsidRPr="00210BD3">
        <w:rPr>
          <w:sz w:val="26"/>
          <w:szCs w:val="26"/>
        </w:rPr>
        <w:t xml:space="preserve">Abuja: World Bank. </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Okuwa, O. B., (2004). </w:t>
      </w:r>
      <w:r w:rsidRPr="00210BD3">
        <w:rPr>
          <w:rFonts w:ascii="Times New Roman" w:hAnsi="Times New Roman" w:cs="Times New Roman"/>
          <w:i/>
          <w:iCs/>
          <w:sz w:val="26"/>
          <w:szCs w:val="26"/>
        </w:rPr>
        <w:t>Private returns to higher education in Nigeria</w:t>
      </w:r>
      <w:r w:rsidRPr="00210BD3">
        <w:rPr>
          <w:rFonts w:ascii="Times New Roman" w:hAnsi="Times New Roman" w:cs="Times New Roman"/>
          <w:sz w:val="26"/>
          <w:szCs w:val="26"/>
        </w:rPr>
        <w:t>.African Economic Research consortium (AERC) publication IRP 139 Kenya Nairobi.</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bCs/>
          <w:iCs/>
          <w:sz w:val="26"/>
          <w:szCs w:val="26"/>
        </w:rPr>
        <w:t>Sani, A. (2015).</w:t>
      </w:r>
      <w:r w:rsidRPr="00210BD3">
        <w:rPr>
          <w:rFonts w:ascii="Times New Roman" w:hAnsi="Times New Roman" w:cs="Times New Roman"/>
          <w:bCs/>
          <w:sz w:val="26"/>
          <w:szCs w:val="26"/>
        </w:rPr>
        <w:t>Public and private higher education financing in Nigeria.</w:t>
      </w:r>
      <w:r w:rsidRPr="00210BD3">
        <w:rPr>
          <w:rFonts w:ascii="Times New Roman" w:hAnsi="Times New Roman" w:cs="Times New Roman"/>
          <w:i/>
          <w:sz w:val="26"/>
          <w:szCs w:val="26"/>
        </w:rPr>
        <w:t>European Scientific Journal</w:t>
      </w:r>
      <w:r w:rsidRPr="00210BD3">
        <w:rPr>
          <w:rFonts w:ascii="Times New Roman" w:hAnsi="Times New Roman" w:cs="Times New Roman"/>
          <w:iCs/>
          <w:sz w:val="26"/>
          <w:szCs w:val="26"/>
        </w:rPr>
        <w:t>,</w:t>
      </w:r>
      <w:r w:rsidRPr="00210BD3">
        <w:rPr>
          <w:rFonts w:ascii="Times New Roman" w:hAnsi="Times New Roman" w:cs="Times New Roman"/>
          <w:i/>
          <w:iCs/>
          <w:sz w:val="26"/>
          <w:szCs w:val="26"/>
        </w:rPr>
        <w:t>11</w:t>
      </w:r>
      <w:r w:rsidRPr="00210BD3">
        <w:rPr>
          <w:rFonts w:ascii="Times New Roman" w:hAnsi="Times New Roman" w:cs="Times New Roman"/>
          <w:sz w:val="26"/>
          <w:szCs w:val="26"/>
        </w:rPr>
        <w:t>(7), 92-98.</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color w:val="222222"/>
          <w:sz w:val="26"/>
          <w:szCs w:val="26"/>
          <w:shd w:val="clear" w:color="auto" w:fill="FFFFFF"/>
        </w:rPr>
        <w:t>Schlör, H., Fischer, W., &amp; Hake, J. F. (2013).Methods of measuring sustainable development of the German energy sector.</w:t>
      </w:r>
      <w:r w:rsidRPr="00210BD3">
        <w:rPr>
          <w:rFonts w:ascii="Times New Roman" w:hAnsi="Times New Roman" w:cs="Times New Roman"/>
          <w:i/>
          <w:iCs/>
          <w:color w:val="222222"/>
          <w:sz w:val="26"/>
          <w:szCs w:val="26"/>
          <w:shd w:val="clear" w:color="auto" w:fill="FFFFFF"/>
        </w:rPr>
        <w:t>Applied Energy</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101</w:t>
      </w:r>
      <w:r w:rsidRPr="00210BD3">
        <w:rPr>
          <w:rFonts w:ascii="Times New Roman" w:hAnsi="Times New Roman" w:cs="Times New Roman"/>
          <w:color w:val="222222"/>
          <w:sz w:val="26"/>
          <w:szCs w:val="26"/>
          <w:shd w:val="clear" w:color="auto" w:fill="FFFFFF"/>
        </w:rPr>
        <w:t>, 172-181.</w:t>
      </w:r>
      <w:hyperlink r:id="rId48" w:history="1">
        <w:r w:rsidRPr="00210BD3">
          <w:rPr>
            <w:rStyle w:val="15"/>
            <w:rFonts w:ascii="Times New Roman" w:hAnsi="Times New Roman" w:cs="Times New Roman"/>
            <w:sz w:val="26"/>
            <w:szCs w:val="26"/>
          </w:rPr>
          <w:t>https://doi.org/10.1016/j.apenergy.2012.05.010</w:t>
        </w:r>
      </w:hyperlink>
    </w:p>
    <w:p w:rsidR="006D1F09" w:rsidRPr="003139A4" w:rsidRDefault="006D1F09" w:rsidP="00750353">
      <w:pPr>
        <w:autoSpaceDE w:val="0"/>
        <w:autoSpaceDN w:val="0"/>
        <w:adjustRightInd w:val="0"/>
        <w:spacing w:after="0" w:line="240" w:lineRule="auto"/>
        <w:ind w:left="720" w:hanging="720"/>
        <w:jc w:val="both"/>
        <w:rPr>
          <w:rFonts w:ascii="Times New Roman" w:hAnsi="Times New Roman" w:cs="Times New Roman"/>
          <w:color w:val="000000" w:themeColor="text1"/>
          <w:sz w:val="26"/>
          <w:szCs w:val="26"/>
        </w:rPr>
      </w:pPr>
      <w:r w:rsidRPr="00210BD3">
        <w:rPr>
          <w:rFonts w:ascii="Times New Roman" w:hAnsi="Times New Roman" w:cs="Times New Roman"/>
          <w:bCs/>
          <w:sz w:val="26"/>
          <w:szCs w:val="26"/>
        </w:rPr>
        <w:t>Tilak, J. B. G. (2004)</w:t>
      </w:r>
      <w:r w:rsidRPr="00210BD3">
        <w:rPr>
          <w:rFonts w:ascii="Times New Roman" w:hAnsi="Times New Roman" w:cs="Times New Roman"/>
          <w:sz w:val="26"/>
          <w:szCs w:val="26"/>
        </w:rPr>
        <w:t xml:space="preserve">. </w:t>
      </w:r>
      <w:r w:rsidRPr="00210BD3">
        <w:rPr>
          <w:rFonts w:ascii="Times New Roman" w:hAnsi="Times New Roman" w:cs="Times New Roman"/>
          <w:bCs/>
          <w:sz w:val="26"/>
          <w:szCs w:val="26"/>
        </w:rPr>
        <w:t xml:space="preserve">Quality higher educationand sustainable development: Public policy concerns. </w:t>
      </w:r>
      <w:hyperlink r:id="rId49" w:history="1">
        <w:r w:rsidRPr="003139A4">
          <w:rPr>
            <w:rStyle w:val="Hyperlink"/>
            <w:rFonts w:ascii="Times New Roman" w:hAnsi="Times New Roman" w:cs="Times New Roman"/>
            <w:color w:val="000000" w:themeColor="text1"/>
            <w:sz w:val="26"/>
            <w:szCs w:val="26"/>
            <w:u w:val="none"/>
          </w:rPr>
          <w:t>https://www.researchgate.net/publication/307974881</w:t>
        </w:r>
      </w:hyperlink>
    </w:p>
    <w:p w:rsidR="006D1F09" w:rsidRPr="003139A4" w:rsidRDefault="006D1F09" w:rsidP="00750353">
      <w:pPr>
        <w:autoSpaceDE w:val="0"/>
        <w:autoSpaceDN w:val="0"/>
        <w:adjustRightInd w:val="0"/>
        <w:spacing w:after="0" w:line="240" w:lineRule="auto"/>
        <w:ind w:left="720" w:hanging="720"/>
        <w:jc w:val="both"/>
        <w:rPr>
          <w:rFonts w:ascii="Times New Roman" w:hAnsi="Times New Roman" w:cs="Times New Roman"/>
          <w:color w:val="000000" w:themeColor="text1"/>
          <w:sz w:val="26"/>
          <w:szCs w:val="26"/>
        </w:rPr>
      </w:pPr>
      <w:r w:rsidRPr="00210BD3">
        <w:rPr>
          <w:rFonts w:ascii="Times New Roman" w:hAnsi="Times New Roman" w:cs="Times New Roman"/>
          <w:color w:val="222222"/>
          <w:sz w:val="26"/>
          <w:szCs w:val="26"/>
          <w:shd w:val="clear" w:color="auto" w:fill="FFFFFF"/>
        </w:rPr>
        <w:t xml:space="preserve">Žalėnienė, I., &amp; Pereira, P. (2021). Higher education for sustainability: A global perspective. </w:t>
      </w:r>
      <w:r w:rsidRPr="00210BD3">
        <w:rPr>
          <w:rFonts w:ascii="Times New Roman" w:hAnsi="Times New Roman" w:cs="Times New Roman"/>
          <w:i/>
          <w:iCs/>
          <w:color w:val="222222"/>
          <w:sz w:val="26"/>
          <w:szCs w:val="26"/>
          <w:shd w:val="clear" w:color="auto" w:fill="FFFFFF"/>
        </w:rPr>
        <w:t>Geography and Sustainability</w:t>
      </w:r>
      <w:r w:rsidRPr="00210BD3">
        <w:rPr>
          <w:rFonts w:ascii="Times New Roman" w:hAnsi="Times New Roman" w:cs="Times New Roman"/>
          <w:color w:val="222222"/>
          <w:sz w:val="26"/>
          <w:szCs w:val="26"/>
          <w:shd w:val="clear" w:color="auto" w:fill="FFFFFF"/>
        </w:rPr>
        <w:t xml:space="preserve">, </w:t>
      </w:r>
      <w:r w:rsidRPr="00210BD3">
        <w:rPr>
          <w:rFonts w:ascii="Times New Roman" w:hAnsi="Times New Roman" w:cs="Times New Roman"/>
          <w:i/>
          <w:iCs/>
          <w:color w:val="222222"/>
          <w:sz w:val="26"/>
          <w:szCs w:val="26"/>
          <w:shd w:val="clear" w:color="auto" w:fill="FFFFFF"/>
        </w:rPr>
        <w:t>2</w:t>
      </w:r>
      <w:r w:rsidRPr="00210BD3">
        <w:rPr>
          <w:rFonts w:ascii="Times New Roman" w:hAnsi="Times New Roman" w:cs="Times New Roman"/>
          <w:color w:val="222222"/>
          <w:sz w:val="26"/>
          <w:szCs w:val="26"/>
          <w:shd w:val="clear" w:color="auto" w:fill="FFFFFF"/>
        </w:rPr>
        <w:t xml:space="preserve">(2), 99-106. </w:t>
      </w:r>
      <w:hyperlink r:id="rId50" w:tooltip="Persistent link using digital object identifier" w:history="1">
        <w:r w:rsidRPr="003139A4">
          <w:rPr>
            <w:rStyle w:val="16"/>
            <w:rFonts w:ascii="Times New Roman" w:hAnsi="Times New Roman" w:cs="Times New Roman"/>
            <w:color w:val="000000" w:themeColor="text1"/>
            <w:sz w:val="26"/>
            <w:szCs w:val="26"/>
            <w:u w:val="none"/>
          </w:rPr>
          <w:t>https://doi.org/10.1016/j.geosus.2021.05.001</w:t>
        </w:r>
      </w:hyperlink>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Ziderman, A. &amp; Albrecht, D., (1995).</w:t>
      </w:r>
      <w:r w:rsidRPr="00210BD3">
        <w:rPr>
          <w:rFonts w:ascii="Times New Roman" w:hAnsi="Times New Roman" w:cs="Times New Roman"/>
          <w:i/>
          <w:iCs/>
          <w:sz w:val="26"/>
          <w:szCs w:val="26"/>
        </w:rPr>
        <w:t>Financing universities in developing countries.</w:t>
      </w:r>
      <w:r w:rsidRPr="00210BD3">
        <w:rPr>
          <w:rFonts w:ascii="Times New Roman" w:hAnsi="Times New Roman" w:cs="Times New Roman"/>
          <w:sz w:val="26"/>
          <w:szCs w:val="26"/>
        </w:rPr>
        <w:t>Washington, DC: The Falmer Press.</w:t>
      </w:r>
    </w:p>
    <w:p w:rsidR="006D1F09" w:rsidRPr="00210BD3" w:rsidRDefault="006D1F09" w:rsidP="00750353">
      <w:pPr>
        <w:autoSpaceDE w:val="0"/>
        <w:autoSpaceDN w:val="0"/>
        <w:adjustRightInd w:val="0"/>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Ziderman, A., (2002). Alternative objectives of national student loan schemes: Implications for design, implementation, and policy. </w:t>
      </w:r>
      <w:r w:rsidRPr="00210BD3">
        <w:rPr>
          <w:rFonts w:ascii="Times New Roman" w:hAnsi="Times New Roman" w:cs="Times New Roman"/>
          <w:i/>
          <w:iCs/>
          <w:sz w:val="26"/>
          <w:szCs w:val="26"/>
        </w:rPr>
        <w:t>The Welsh journal of Education</w:t>
      </w:r>
      <w:r w:rsidRPr="00210BD3">
        <w:rPr>
          <w:rFonts w:ascii="Times New Roman" w:hAnsi="Times New Roman" w:cs="Times New Roman"/>
          <w:sz w:val="26"/>
          <w:szCs w:val="26"/>
        </w:rPr>
        <w:t>,</w:t>
      </w:r>
      <w:r w:rsidRPr="00210BD3">
        <w:rPr>
          <w:rFonts w:ascii="Times New Roman" w:hAnsi="Times New Roman" w:cs="Times New Roman"/>
          <w:i/>
          <w:iCs/>
          <w:sz w:val="26"/>
          <w:szCs w:val="26"/>
        </w:rPr>
        <w:t xml:space="preserve"> 11</w:t>
      </w:r>
      <w:r w:rsidRPr="00210BD3">
        <w:rPr>
          <w:rFonts w:ascii="Times New Roman" w:hAnsi="Times New Roman" w:cs="Times New Roman"/>
          <w:sz w:val="26"/>
          <w:szCs w:val="26"/>
        </w:rPr>
        <w:t xml:space="preserve">(91): 37– 47. </w:t>
      </w:r>
      <w:hyperlink r:id="rId51" w:history="1">
        <w:r w:rsidRPr="00210BD3">
          <w:rPr>
            <w:rStyle w:val="15"/>
            <w:rFonts w:ascii="Times New Roman" w:hAnsi="Times New Roman" w:cs="Times New Roman"/>
            <w:sz w:val="26"/>
            <w:szCs w:val="26"/>
          </w:rPr>
          <w:t>https://doi.org/10.16922/wje.11.1.4</w:t>
        </w:r>
      </w:hyperlink>
    </w:p>
    <w:p w:rsidR="006D1F09" w:rsidRPr="00210BD3" w:rsidRDefault="006D1F09" w:rsidP="00750353">
      <w:pPr>
        <w:spacing w:line="240" w:lineRule="auto"/>
        <w:ind w:left="720"/>
        <w:rPr>
          <w:rFonts w:ascii="Times New Roman" w:hAnsi="Times New Roman" w:cs="Times New Roman"/>
          <w:sz w:val="26"/>
          <w:szCs w:val="26"/>
        </w:rPr>
      </w:pPr>
    </w:p>
    <w:p w:rsidR="00422994" w:rsidRPr="00210BD3" w:rsidRDefault="00422994" w:rsidP="00750353">
      <w:pPr>
        <w:spacing w:line="240" w:lineRule="auto"/>
        <w:ind w:left="720"/>
        <w:rPr>
          <w:rFonts w:ascii="Times New Roman" w:hAnsi="Times New Roman" w:cs="Times New Roman"/>
          <w:sz w:val="26"/>
          <w:szCs w:val="26"/>
        </w:rPr>
      </w:pPr>
    </w:p>
    <w:p w:rsidR="00422994" w:rsidRPr="00210BD3" w:rsidRDefault="00422994" w:rsidP="00750353">
      <w:pPr>
        <w:spacing w:line="240" w:lineRule="auto"/>
        <w:ind w:left="720"/>
        <w:rPr>
          <w:rFonts w:ascii="Times New Roman" w:hAnsi="Times New Roman" w:cs="Times New Roman"/>
          <w:sz w:val="26"/>
          <w:szCs w:val="26"/>
        </w:rPr>
      </w:pPr>
    </w:p>
    <w:p w:rsidR="000B7093" w:rsidRPr="00210BD3" w:rsidRDefault="000B7093" w:rsidP="00750353">
      <w:pPr>
        <w:tabs>
          <w:tab w:val="left" w:pos="8647"/>
          <w:tab w:val="left" w:pos="9072"/>
          <w:tab w:val="left" w:pos="9214"/>
        </w:tabs>
        <w:spacing w:after="160" w:line="240" w:lineRule="auto"/>
        <w:ind w:left="720"/>
        <w:rPr>
          <w:rFonts w:ascii="Times New Roman" w:hAnsi="Times New Roman" w:cs="Times New Roman"/>
          <w:sz w:val="26"/>
          <w:szCs w:val="26"/>
        </w:rPr>
      </w:pPr>
    </w:p>
    <w:p w:rsidR="00A273E3" w:rsidRPr="00210BD3" w:rsidRDefault="00A273E3" w:rsidP="007137CC">
      <w:pPr>
        <w:tabs>
          <w:tab w:val="left" w:pos="8647"/>
          <w:tab w:val="left" w:pos="9072"/>
          <w:tab w:val="left" w:pos="9214"/>
        </w:tabs>
        <w:spacing w:after="160" w:line="240" w:lineRule="auto"/>
        <w:rPr>
          <w:rFonts w:ascii="Times New Roman" w:hAnsi="Times New Roman" w:cs="Times New Roman"/>
          <w:sz w:val="26"/>
          <w:szCs w:val="26"/>
        </w:rPr>
      </w:pPr>
    </w:p>
    <w:p w:rsidR="00A273E3" w:rsidRPr="00210BD3" w:rsidRDefault="00A273E3" w:rsidP="007137CC">
      <w:pPr>
        <w:tabs>
          <w:tab w:val="left" w:pos="8647"/>
          <w:tab w:val="left" w:pos="9072"/>
          <w:tab w:val="left" w:pos="9214"/>
        </w:tabs>
        <w:spacing w:after="160" w:line="240" w:lineRule="auto"/>
        <w:rPr>
          <w:rFonts w:ascii="Times New Roman" w:hAnsi="Times New Roman" w:cs="Times New Roman"/>
          <w:sz w:val="26"/>
          <w:szCs w:val="26"/>
        </w:rPr>
      </w:pPr>
    </w:p>
    <w:p w:rsidR="00750353" w:rsidRDefault="00750353">
      <w:pPr>
        <w:rPr>
          <w:rFonts w:ascii="Times New Roman" w:hAnsi="Times New Roman" w:cs="Times New Roman"/>
          <w:sz w:val="26"/>
          <w:szCs w:val="26"/>
        </w:rPr>
      </w:pPr>
      <w:r>
        <w:rPr>
          <w:rFonts w:ascii="Times New Roman" w:hAnsi="Times New Roman" w:cs="Times New Roman"/>
          <w:sz w:val="26"/>
          <w:szCs w:val="26"/>
        </w:rPr>
        <w:br w:type="page"/>
      </w:r>
    </w:p>
    <w:p w:rsidR="00422994" w:rsidRPr="00210BD3" w:rsidRDefault="00422994" w:rsidP="007137CC">
      <w:pPr>
        <w:tabs>
          <w:tab w:val="left" w:pos="8647"/>
          <w:tab w:val="left" w:pos="9072"/>
          <w:tab w:val="left" w:pos="9214"/>
        </w:tabs>
        <w:spacing w:after="0" w:line="240" w:lineRule="auto"/>
        <w:ind w:hanging="10"/>
        <w:jc w:val="center"/>
        <w:rPr>
          <w:rFonts w:ascii="Times New Roman" w:hAnsi="Times New Roman" w:cs="Times New Roman"/>
          <w:sz w:val="26"/>
          <w:szCs w:val="26"/>
        </w:rPr>
      </w:pPr>
      <w:r w:rsidRPr="00210BD3">
        <w:rPr>
          <w:rFonts w:ascii="Times New Roman" w:hAnsi="Times New Roman" w:cs="Times New Roman"/>
          <w:b/>
          <w:sz w:val="26"/>
          <w:szCs w:val="26"/>
        </w:rPr>
        <w:lastRenderedPageBreak/>
        <w:t>THEOREM 3 IN PRACTICE: ENHANCING VOCATIONAL EDUCATION THROUGH COGNITIVE AND</w:t>
      </w:r>
    </w:p>
    <w:p w:rsidR="00422994" w:rsidRPr="00210BD3" w:rsidRDefault="00422994" w:rsidP="007137CC">
      <w:pPr>
        <w:tabs>
          <w:tab w:val="left" w:pos="8647"/>
          <w:tab w:val="left" w:pos="9072"/>
          <w:tab w:val="left" w:pos="9214"/>
        </w:tabs>
        <w:spacing w:after="0" w:line="240" w:lineRule="auto"/>
        <w:jc w:val="center"/>
        <w:rPr>
          <w:rFonts w:ascii="Times New Roman" w:hAnsi="Times New Roman" w:cs="Times New Roman"/>
          <w:sz w:val="26"/>
          <w:szCs w:val="26"/>
        </w:rPr>
      </w:pPr>
      <w:r w:rsidRPr="00210BD3">
        <w:rPr>
          <w:rFonts w:ascii="Times New Roman" w:hAnsi="Times New Roman" w:cs="Times New Roman"/>
          <w:b/>
          <w:sz w:val="26"/>
          <w:szCs w:val="26"/>
        </w:rPr>
        <w:t>MANIPULATIVE SKILLS DEVELOPMENT</w:t>
      </w:r>
    </w:p>
    <w:p w:rsidR="00422994" w:rsidRPr="00210BD3" w:rsidRDefault="00422994" w:rsidP="007137CC">
      <w:pPr>
        <w:tabs>
          <w:tab w:val="left" w:pos="8647"/>
          <w:tab w:val="left" w:pos="9072"/>
          <w:tab w:val="left" w:pos="9214"/>
        </w:tabs>
        <w:spacing w:after="0" w:line="240" w:lineRule="auto"/>
        <w:jc w:val="center"/>
        <w:rPr>
          <w:rFonts w:ascii="Times New Roman" w:hAnsi="Times New Roman" w:cs="Times New Roman"/>
          <w:sz w:val="26"/>
          <w:szCs w:val="26"/>
        </w:rPr>
      </w:pPr>
    </w:p>
    <w:p w:rsidR="00F44AC8" w:rsidRPr="00210BD3" w:rsidRDefault="00F44AC8" w:rsidP="007137CC">
      <w:pPr>
        <w:spacing w:after="0" w:line="240" w:lineRule="auto"/>
        <w:jc w:val="center"/>
        <w:rPr>
          <w:rFonts w:ascii="Times New Roman" w:hAnsi="Times New Roman" w:cs="Times New Roman"/>
          <w:b/>
          <w:bCs/>
          <w:sz w:val="26"/>
          <w:szCs w:val="26"/>
        </w:rPr>
      </w:pPr>
      <w:r w:rsidRPr="00210BD3">
        <w:rPr>
          <w:rFonts w:ascii="Times New Roman" w:hAnsi="Times New Roman" w:cs="Times New Roman"/>
          <w:b/>
          <w:bCs/>
          <w:sz w:val="26"/>
          <w:szCs w:val="26"/>
        </w:rPr>
        <w:t>Agnes A. EWURU (Ph.D)</w:t>
      </w:r>
    </w:p>
    <w:p w:rsidR="00F44AC8" w:rsidRPr="00210BD3" w:rsidRDefault="00F44AC8"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Department of Business Education,</w:t>
      </w:r>
    </w:p>
    <w:p w:rsidR="00F44AC8" w:rsidRPr="00210BD3" w:rsidRDefault="00F44AC8" w:rsidP="007137CC">
      <w:pPr>
        <w:spacing w:after="0" w:line="240" w:lineRule="auto"/>
        <w:jc w:val="center"/>
        <w:rPr>
          <w:rFonts w:ascii="Times New Roman" w:hAnsi="Times New Roman" w:cs="Times New Roman"/>
          <w:bCs/>
          <w:sz w:val="26"/>
          <w:szCs w:val="26"/>
        </w:rPr>
      </w:pPr>
      <w:r w:rsidRPr="00210BD3">
        <w:rPr>
          <w:rFonts w:ascii="Times New Roman" w:hAnsi="Times New Roman" w:cs="Times New Roman"/>
          <w:bCs/>
          <w:sz w:val="26"/>
          <w:szCs w:val="26"/>
        </w:rPr>
        <w:t>University of Calabar, Cross River Stae</w:t>
      </w:r>
    </w:p>
    <w:p w:rsidR="00F44AC8" w:rsidRPr="00210BD3" w:rsidRDefault="00330E99" w:rsidP="007137CC">
      <w:pPr>
        <w:spacing w:after="0" w:line="240" w:lineRule="auto"/>
        <w:jc w:val="center"/>
        <w:rPr>
          <w:rFonts w:ascii="Times New Roman" w:hAnsi="Times New Roman" w:cs="Times New Roman"/>
          <w:bCs/>
          <w:sz w:val="26"/>
          <w:szCs w:val="26"/>
        </w:rPr>
      </w:pPr>
      <w:hyperlink r:id="rId52" w:history="1">
        <w:r w:rsidR="00F44AC8" w:rsidRPr="003139A4">
          <w:rPr>
            <w:rStyle w:val="Hyperlink"/>
            <w:rFonts w:ascii="Times New Roman" w:hAnsi="Times New Roman" w:cs="Times New Roman"/>
            <w:bCs/>
            <w:color w:val="000000" w:themeColor="text1"/>
            <w:sz w:val="26"/>
            <w:szCs w:val="26"/>
            <w:u w:val="none"/>
          </w:rPr>
          <w:t>eagnes@unical.edu.ng</w:t>
        </w:r>
      </w:hyperlink>
      <w:r w:rsidR="00F44AC8" w:rsidRPr="00210BD3">
        <w:rPr>
          <w:rFonts w:ascii="Times New Roman" w:hAnsi="Times New Roman" w:cs="Times New Roman"/>
          <w:bCs/>
          <w:sz w:val="26"/>
          <w:szCs w:val="26"/>
        </w:rPr>
        <w:t xml:space="preserve"> 07030532140</w:t>
      </w:r>
    </w:p>
    <w:p w:rsidR="00776104" w:rsidRPr="00210BD3" w:rsidRDefault="00776104" w:rsidP="007137CC">
      <w:pPr>
        <w:tabs>
          <w:tab w:val="left" w:pos="8647"/>
          <w:tab w:val="left" w:pos="9072"/>
          <w:tab w:val="left" w:pos="9214"/>
        </w:tabs>
        <w:spacing w:after="0" w:line="240" w:lineRule="auto"/>
        <w:ind w:hanging="11"/>
        <w:jc w:val="center"/>
        <w:rPr>
          <w:rFonts w:ascii="Times New Roman" w:hAnsi="Times New Roman" w:cs="Times New Roman"/>
          <w:sz w:val="26"/>
          <w:szCs w:val="26"/>
        </w:rPr>
      </w:pPr>
    </w:p>
    <w:p w:rsidR="00422994" w:rsidRPr="00210BD3" w:rsidRDefault="00422994" w:rsidP="007137CC">
      <w:pPr>
        <w:tabs>
          <w:tab w:val="left" w:pos="8647"/>
          <w:tab w:val="left" w:pos="9072"/>
          <w:tab w:val="left" w:pos="9214"/>
        </w:tabs>
        <w:spacing w:after="0" w:line="240" w:lineRule="auto"/>
        <w:ind w:hanging="10"/>
        <w:jc w:val="center"/>
        <w:rPr>
          <w:rFonts w:ascii="Times New Roman" w:hAnsi="Times New Roman" w:cs="Times New Roman"/>
          <w:b/>
          <w:sz w:val="26"/>
          <w:szCs w:val="26"/>
        </w:rPr>
      </w:pPr>
      <w:r w:rsidRPr="00210BD3">
        <w:rPr>
          <w:rFonts w:ascii="Times New Roman" w:hAnsi="Times New Roman" w:cs="Times New Roman"/>
          <w:b/>
          <w:sz w:val="26"/>
          <w:szCs w:val="26"/>
        </w:rPr>
        <w:t>EBERE V. BASSEY</w:t>
      </w:r>
    </w:p>
    <w:p w:rsidR="00422994" w:rsidRPr="00210BD3" w:rsidRDefault="00422994" w:rsidP="007137CC">
      <w:pPr>
        <w:tabs>
          <w:tab w:val="left" w:pos="8647"/>
          <w:tab w:val="left" w:pos="9072"/>
          <w:tab w:val="left" w:pos="9214"/>
        </w:tabs>
        <w:spacing w:after="0" w:line="240" w:lineRule="auto"/>
        <w:ind w:hanging="11"/>
        <w:jc w:val="center"/>
        <w:rPr>
          <w:rFonts w:ascii="Times New Roman" w:hAnsi="Times New Roman" w:cs="Times New Roman"/>
          <w:sz w:val="26"/>
          <w:szCs w:val="26"/>
        </w:rPr>
      </w:pPr>
      <w:r w:rsidRPr="00210BD3">
        <w:rPr>
          <w:rFonts w:ascii="Times New Roman" w:hAnsi="Times New Roman" w:cs="Times New Roman"/>
          <w:sz w:val="26"/>
          <w:szCs w:val="26"/>
        </w:rPr>
        <w:t>DEPARTMENT OF BUSINESS EDUCATION</w:t>
      </w:r>
    </w:p>
    <w:p w:rsidR="00422994" w:rsidRPr="00210BD3" w:rsidRDefault="00422994" w:rsidP="007137CC">
      <w:pPr>
        <w:tabs>
          <w:tab w:val="left" w:pos="8647"/>
          <w:tab w:val="left" w:pos="9072"/>
          <w:tab w:val="left" w:pos="9214"/>
        </w:tabs>
        <w:spacing w:after="0" w:line="240" w:lineRule="auto"/>
        <w:ind w:hanging="11"/>
        <w:jc w:val="center"/>
        <w:rPr>
          <w:rFonts w:ascii="Times New Roman" w:hAnsi="Times New Roman" w:cs="Times New Roman"/>
          <w:sz w:val="26"/>
          <w:szCs w:val="26"/>
        </w:rPr>
      </w:pPr>
      <w:r w:rsidRPr="00210BD3">
        <w:rPr>
          <w:rFonts w:ascii="Times New Roman" w:hAnsi="Times New Roman" w:cs="Times New Roman"/>
          <w:sz w:val="26"/>
          <w:szCs w:val="26"/>
        </w:rPr>
        <w:t>FACULTY OF VOCATIONAL AND ENTREPRENEURIAL EDUCATION</w:t>
      </w:r>
    </w:p>
    <w:p w:rsidR="00422994" w:rsidRPr="00210BD3" w:rsidRDefault="00422994" w:rsidP="007137CC">
      <w:pPr>
        <w:tabs>
          <w:tab w:val="left" w:pos="8647"/>
          <w:tab w:val="left" w:pos="9072"/>
          <w:tab w:val="left" w:pos="9214"/>
        </w:tabs>
        <w:spacing w:after="0" w:line="240" w:lineRule="auto"/>
        <w:ind w:hanging="11"/>
        <w:jc w:val="center"/>
        <w:rPr>
          <w:rFonts w:ascii="Times New Roman" w:hAnsi="Times New Roman" w:cs="Times New Roman"/>
          <w:sz w:val="26"/>
          <w:szCs w:val="26"/>
        </w:rPr>
      </w:pPr>
      <w:r w:rsidRPr="00210BD3">
        <w:rPr>
          <w:rFonts w:ascii="Times New Roman" w:hAnsi="Times New Roman" w:cs="Times New Roman"/>
          <w:sz w:val="26"/>
          <w:szCs w:val="26"/>
        </w:rPr>
        <w:t>UNIVERSITY OF CALABAR, CALABAR – NIGERIA</w:t>
      </w:r>
    </w:p>
    <w:p w:rsidR="00422994" w:rsidRPr="003139A4" w:rsidRDefault="00330E99" w:rsidP="007137CC">
      <w:pPr>
        <w:tabs>
          <w:tab w:val="left" w:pos="8647"/>
          <w:tab w:val="left" w:pos="9072"/>
          <w:tab w:val="left" w:pos="9214"/>
        </w:tabs>
        <w:spacing w:after="0" w:line="240" w:lineRule="auto"/>
        <w:ind w:hanging="11"/>
        <w:jc w:val="center"/>
        <w:rPr>
          <w:rFonts w:ascii="Times New Roman" w:hAnsi="Times New Roman" w:cs="Times New Roman"/>
          <w:color w:val="000000" w:themeColor="text1"/>
          <w:sz w:val="26"/>
          <w:szCs w:val="26"/>
        </w:rPr>
      </w:pPr>
      <w:hyperlink r:id="rId53" w:history="1">
        <w:r w:rsidR="00422994" w:rsidRPr="003139A4">
          <w:rPr>
            <w:rStyle w:val="Hyperlink"/>
            <w:rFonts w:ascii="Times New Roman" w:hAnsi="Times New Roman" w:cs="Times New Roman"/>
            <w:b/>
            <w:color w:val="000000" w:themeColor="text1"/>
            <w:sz w:val="26"/>
            <w:szCs w:val="26"/>
            <w:u w:val="none"/>
          </w:rPr>
          <w:t>ebiibassey@yahoo.com</w:t>
        </w:r>
      </w:hyperlink>
    </w:p>
    <w:p w:rsidR="003139A4" w:rsidRDefault="003139A4" w:rsidP="007137CC">
      <w:pPr>
        <w:pStyle w:val="Heading1"/>
        <w:tabs>
          <w:tab w:val="left" w:pos="8647"/>
          <w:tab w:val="left" w:pos="9072"/>
          <w:tab w:val="left" w:pos="9214"/>
        </w:tabs>
        <w:spacing w:before="0" w:line="240" w:lineRule="auto"/>
        <w:jc w:val="center"/>
        <w:rPr>
          <w:rFonts w:ascii="Times New Roman" w:hAnsi="Times New Roman" w:cs="Times New Roman"/>
          <w:color w:val="000000" w:themeColor="text1"/>
          <w:sz w:val="26"/>
          <w:szCs w:val="26"/>
        </w:rPr>
      </w:pPr>
    </w:p>
    <w:p w:rsidR="00422994" w:rsidRPr="003139A4" w:rsidRDefault="00422994" w:rsidP="007137CC">
      <w:pPr>
        <w:pStyle w:val="Heading1"/>
        <w:tabs>
          <w:tab w:val="left" w:pos="8647"/>
          <w:tab w:val="left" w:pos="9072"/>
          <w:tab w:val="left" w:pos="9214"/>
        </w:tabs>
        <w:spacing w:before="0" w:line="240" w:lineRule="auto"/>
        <w:jc w:val="center"/>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Abstract</w:t>
      </w:r>
    </w:p>
    <w:p w:rsidR="00422994" w:rsidRPr="00210BD3" w:rsidRDefault="00422994" w:rsidP="007137CC">
      <w:pPr>
        <w:tabs>
          <w:tab w:val="left" w:pos="8647"/>
          <w:tab w:val="left" w:pos="9072"/>
          <w:tab w:val="left" w:pos="9214"/>
        </w:tabs>
        <w:spacing w:line="240" w:lineRule="auto"/>
        <w:jc w:val="both"/>
        <w:rPr>
          <w:rFonts w:ascii="Times New Roman" w:hAnsi="Times New Roman" w:cs="Times New Roman"/>
          <w:i/>
          <w:sz w:val="26"/>
          <w:szCs w:val="26"/>
        </w:rPr>
      </w:pPr>
      <w:r w:rsidRPr="00210BD3">
        <w:rPr>
          <w:rFonts w:ascii="Times New Roman" w:hAnsi="Times New Roman" w:cs="Times New Roman"/>
          <w:i/>
          <w:sz w:val="26"/>
          <w:szCs w:val="26"/>
        </w:rPr>
        <w:t xml:space="preserve">This research paper explored the application of Theorem 3 in vocational education, which emphasizes the integration of cognitive and manipulative habits to prepare students for the contemporary workforce. Theorem 3 advocates for a dual focus on both thinking skills such as critical thinking, problem-solving, and decision-making and practical technical skills essential for job proficiency. This study examines how combining these cognitive and practical elements enhances vocational training programs, ensuring that graduates are not only technically adept but also capable of adapting to evolving industry demands. The paper discusses strategies for implementing this integrated approach, including problem-based learning, exposure to modern work tools, and industry collaboration. It highlights the importance of fostering a culture of lifelong learning and continuous professional development to maintain relevance in a rapidly changing job market. The research underscores that while challenges in applying these principles exist, they provide a robust framework for developing effective and relevant vocational training programs that meet the needs of both individuals and employers. Through this approach, vocational education can contribute significantly to creating a skilled and adaptable workforce prepared for the complexities of the 21st century. </w:t>
      </w:r>
    </w:p>
    <w:p w:rsidR="002614B2" w:rsidRDefault="002614B2" w:rsidP="007137CC">
      <w:pPr>
        <w:pStyle w:val="Heading1"/>
        <w:tabs>
          <w:tab w:val="left" w:pos="8647"/>
          <w:tab w:val="left" w:pos="9072"/>
          <w:tab w:val="left" w:pos="9214"/>
        </w:tabs>
        <w:spacing w:before="0" w:line="240" w:lineRule="auto"/>
        <w:jc w:val="both"/>
        <w:rPr>
          <w:rFonts w:ascii="Times New Roman" w:hAnsi="Times New Roman" w:cs="Times New Roman"/>
          <w:color w:val="000000" w:themeColor="text1"/>
          <w:sz w:val="26"/>
          <w:szCs w:val="26"/>
        </w:rPr>
        <w:sectPr w:rsidR="002614B2" w:rsidSect="00210BD3">
          <w:type w:val="continuous"/>
          <w:pgSz w:w="12240" w:h="15840" w:code="1"/>
          <w:pgMar w:top="1440" w:right="1440" w:bottom="1440" w:left="1440" w:header="706" w:footer="706" w:gutter="0"/>
          <w:cols w:space="708"/>
          <w:docGrid w:linePitch="360"/>
        </w:sectPr>
      </w:pPr>
    </w:p>
    <w:p w:rsidR="00422994" w:rsidRPr="003139A4" w:rsidRDefault="00422994" w:rsidP="007137CC">
      <w:pPr>
        <w:pStyle w:val="Heading1"/>
        <w:tabs>
          <w:tab w:val="left" w:pos="8647"/>
          <w:tab w:val="left" w:pos="9072"/>
          <w:tab w:val="left" w:pos="9214"/>
        </w:tabs>
        <w:spacing w:before="0" w:line="240" w:lineRule="auto"/>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lastRenderedPageBreak/>
        <w:t xml:space="preserve">Introduction </w:t>
      </w:r>
    </w:p>
    <w:p w:rsidR="00422994" w:rsidRPr="003139A4" w:rsidRDefault="00422994" w:rsidP="007137CC">
      <w:pPr>
        <w:spacing w:line="240" w:lineRule="auto"/>
        <w:ind w:firstLine="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Charles Allen Prosser, often regarded as the father of vocational education in the United States, made significant contributions to the field with his foundational principles, known as the sixteen theorems. These theorems have shaped vocational education by emphasizing the practical and cognitive </w:t>
      </w:r>
      <w:r w:rsidRPr="003139A4">
        <w:rPr>
          <w:rFonts w:ascii="Times New Roman" w:hAnsi="Times New Roman" w:cs="Times New Roman"/>
          <w:color w:val="000000" w:themeColor="text1"/>
          <w:sz w:val="26"/>
          <w:szCs w:val="26"/>
        </w:rPr>
        <w:lastRenderedPageBreak/>
        <w:t xml:space="preserve">aspects of training. This paper focuses on Theorem 3, which posits that effective vocational education develops both thinking and manipulative habits. By exploring this theorem, we will discuss its historical context, significance, implications for modern vocational education, and insights from both Nigerian and international perspectives. </w:t>
      </w:r>
    </w:p>
    <w:p w:rsidR="00422994" w:rsidRPr="003139A4" w:rsidRDefault="00422994" w:rsidP="007137CC">
      <w:pPr>
        <w:tabs>
          <w:tab w:val="left" w:pos="8647"/>
          <w:tab w:val="left" w:pos="9072"/>
          <w:tab w:val="left" w:pos="9214"/>
        </w:tabs>
        <w:spacing w:after="0" w:line="240" w:lineRule="auto"/>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lastRenderedPageBreak/>
        <w:t xml:space="preserve">Prosser’s theorems emerged in response to the industrialization of the early 20th century, a time when the United States was experiencing rapid technological advancements and economic changes. The traditional education system was insufficient to meet the needs of industries that required skilled labor capable of adapting to new technologies (Prosser, 1949). Consequently, Prosser developed his sixteen theorems to guide vocational education programs in producing a workforce equipped with both practical skills and cognitive abilities. </w:t>
      </w:r>
    </w:p>
    <w:p w:rsidR="00422994" w:rsidRPr="003139A4" w:rsidRDefault="00422994" w:rsidP="007137CC">
      <w:pPr>
        <w:spacing w:after="0" w:line="240" w:lineRule="auto"/>
        <w:ind w:firstLine="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In Nigeria, the context for vocational education is shaped by similar industrial and economic challenges. According to Eze (2012), vocational education in Nigeria has historically focused on providing practical skills to address unemployment and enhance economic development. However, there is a growing recognition of the need to integrate cognitive skills training to prepare students for a dynamic and competitive global market. </w:t>
      </w:r>
    </w:p>
    <w:p w:rsidR="003139A4" w:rsidRDefault="003139A4" w:rsidP="007137CC">
      <w:pPr>
        <w:pStyle w:val="Heading1"/>
        <w:spacing w:before="0" w:line="240" w:lineRule="auto"/>
        <w:jc w:val="both"/>
        <w:rPr>
          <w:rFonts w:ascii="Times New Roman" w:hAnsi="Times New Roman" w:cs="Times New Roman"/>
          <w:color w:val="000000" w:themeColor="text1"/>
          <w:sz w:val="26"/>
          <w:szCs w:val="26"/>
        </w:rPr>
      </w:pPr>
    </w:p>
    <w:p w:rsidR="00422994" w:rsidRPr="003139A4" w:rsidRDefault="00422994" w:rsidP="007137CC">
      <w:pPr>
        <w:pStyle w:val="Heading1"/>
        <w:tabs>
          <w:tab w:val="left" w:pos="8647"/>
          <w:tab w:val="left" w:pos="9072"/>
          <w:tab w:val="left" w:pos="9214"/>
        </w:tabs>
        <w:spacing w:before="0" w:line="240" w:lineRule="auto"/>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Theorem 3 of vocational education</w:t>
      </w:r>
    </w:p>
    <w:p w:rsidR="00422994" w:rsidRPr="003139A4" w:rsidRDefault="00422994" w:rsidP="007137CC">
      <w:pPr>
        <w:tabs>
          <w:tab w:val="left" w:pos="8647"/>
          <w:tab w:val="left" w:pos="9072"/>
          <w:tab w:val="left" w:pos="9214"/>
        </w:tabs>
        <w:spacing w:after="0" w:line="240" w:lineRule="auto"/>
        <w:ind w:firstLine="71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Theorem e states that “Vocational education will be efficient in proportion as it enables each individual to capitalize his interests, aptitudes, and capacities, and to convert them into economic and social advantages through skill in some useful occupation and the formation of manipulative habits and the habit of thinking for him." This theorem underscores the dual nature of vocational education, emphasizing both thinking habits and manipulative skills. This dual focus is essential for equipping students with the necessary tools to succeed in the </w:t>
      </w:r>
      <w:r w:rsidRPr="003139A4">
        <w:rPr>
          <w:rFonts w:ascii="Times New Roman" w:hAnsi="Times New Roman" w:cs="Times New Roman"/>
          <w:color w:val="000000" w:themeColor="text1"/>
          <w:sz w:val="26"/>
          <w:szCs w:val="26"/>
        </w:rPr>
        <w:lastRenderedPageBreak/>
        <w:t xml:space="preserve">workforce. The cognitive aspect of vocational education focuses on developing critical thinking, problem-solving and decision-making skills. According to Okojie (2011), these cognitive skills are crucial in vocational training as they enable individuals to adapt to new challenges, innovate within their fields, and contribute meaningfully to their organizations. Recent studies, such as those by Suleiman et al. (2022), emphasize that the integration of these skills enhances employability and career readiness among vocational graduates. </w:t>
      </w:r>
    </w:p>
    <w:p w:rsidR="00422994" w:rsidRPr="00210BD3" w:rsidRDefault="00422994" w:rsidP="007137CC">
      <w:pPr>
        <w:tabs>
          <w:tab w:val="left" w:pos="8647"/>
          <w:tab w:val="left" w:pos="9072"/>
          <w:tab w:val="left" w:pos="9214"/>
        </w:tabs>
        <w:spacing w:line="240" w:lineRule="auto"/>
        <w:ind w:firstLine="710"/>
        <w:jc w:val="both"/>
        <w:rPr>
          <w:rFonts w:ascii="Times New Roman" w:hAnsi="Times New Roman" w:cs="Times New Roman"/>
          <w:sz w:val="26"/>
          <w:szCs w:val="26"/>
        </w:rPr>
      </w:pPr>
      <w:r w:rsidRPr="003139A4">
        <w:rPr>
          <w:rFonts w:ascii="Times New Roman" w:hAnsi="Times New Roman" w:cs="Times New Roman"/>
          <w:color w:val="000000" w:themeColor="text1"/>
          <w:sz w:val="26"/>
          <w:szCs w:val="26"/>
        </w:rPr>
        <w:t xml:space="preserve">The philosophy of vocational education is rooted in the belief that education should be practical, relevant, and responsive to the needs of the economy and society. This philosophy aligns with the dual focus on thinking habits and manipulative skills in several ways. Vocational education embodies the philosophy of pragmatism, which emphasizes that learning should be practical and experiential. By integrating thinking habits and manipulative skills, students are prepared to perform specific tasks and think critically, adapting to the ever-changing demands of the workforce (Obi &amp; Onyeike, 2023). Humanistic education, which emphasizes the development of the whole person—including intellectual, emotional, and practical capabilities—is also reflected in vocational education. By fostering both cognitive and technical skills, vocational education nurtures the intellectual and practical aspects of students, promoting their personal and professional growth (Agboola, 2023). Constructivist </w:t>
      </w:r>
      <w:r w:rsidRPr="00210BD3">
        <w:rPr>
          <w:rFonts w:ascii="Times New Roman" w:hAnsi="Times New Roman" w:cs="Times New Roman"/>
          <w:sz w:val="26"/>
          <w:szCs w:val="26"/>
        </w:rPr>
        <w:t xml:space="preserve">theories emphasize the active role of learners in constructing their own knowledge. The focus on thinking habits encourages </w:t>
      </w:r>
      <w:r w:rsidRPr="00210BD3">
        <w:rPr>
          <w:rFonts w:ascii="Times New Roman" w:hAnsi="Times New Roman" w:cs="Times New Roman"/>
          <w:sz w:val="26"/>
          <w:szCs w:val="26"/>
        </w:rPr>
        <w:lastRenderedPageBreak/>
        <w:t xml:space="preserve">students to engage in problem-solving, critical thinking, and decision-making, while manipulative skills provide the hands-on experience necessary for solidifying this knowledge through practice (Adamu &amp; Ibrahim, 2024). </w:t>
      </w:r>
    </w:p>
    <w:p w:rsidR="00422994" w:rsidRPr="00210BD3" w:rsidRDefault="00422994" w:rsidP="007137CC">
      <w:pPr>
        <w:spacing w:after="0" w:line="240" w:lineRule="auto"/>
        <w:ind w:firstLine="710"/>
        <w:jc w:val="both"/>
        <w:rPr>
          <w:rFonts w:ascii="Times New Roman" w:hAnsi="Times New Roman" w:cs="Times New Roman"/>
          <w:sz w:val="26"/>
          <w:szCs w:val="26"/>
        </w:rPr>
      </w:pPr>
      <w:r w:rsidRPr="00210BD3">
        <w:rPr>
          <w:rFonts w:ascii="Times New Roman" w:hAnsi="Times New Roman" w:cs="Times New Roman"/>
          <w:sz w:val="26"/>
          <w:szCs w:val="26"/>
        </w:rPr>
        <w:t xml:space="preserve">The mandates of vocational education are often defined by government policies and educational standards, aiming to produce a skilled workforce that can drive economic growth and innovation. The dual focus on thinking habits and manipulative skills aligns with these mandates by addressing workforce development, economic competitiveness, and lifelong learning. Vocational education is mandated to develop a skilled workforce capable of meeting industry demands. Thinking habits enable students to analyze, innovate, and improve processes, while manipulative skills ensure they can execute tasks efficiently and effectively. Together, these skills prepare students to contribute meaningfully to their industries (Nwosu &amp; Okonkwo, 2024). Vocational education also emphasizes the importance of continuous learning to keep pace with technological advancements and changing job markets. The development of thinking habits supports continuous learning and adaptability, while manipulative skills provide a foundation for acquiring new technical competencies throughout one's career (Yusuf, 2023). </w:t>
      </w:r>
    </w:p>
    <w:p w:rsidR="00422994" w:rsidRPr="00210BD3" w:rsidRDefault="00422994" w:rsidP="007137CC">
      <w:pPr>
        <w:tabs>
          <w:tab w:val="left" w:pos="8647"/>
          <w:tab w:val="left" w:pos="9072"/>
          <w:tab w:val="left" w:pos="9214"/>
        </w:tabs>
        <w:spacing w:after="1" w:line="240" w:lineRule="auto"/>
        <w:ind w:firstLine="710"/>
        <w:jc w:val="both"/>
        <w:rPr>
          <w:rFonts w:ascii="Times New Roman" w:hAnsi="Times New Roman" w:cs="Times New Roman"/>
          <w:sz w:val="26"/>
          <w:szCs w:val="26"/>
        </w:rPr>
      </w:pPr>
      <w:r w:rsidRPr="00210BD3">
        <w:rPr>
          <w:rFonts w:ascii="Times New Roman" w:hAnsi="Times New Roman" w:cs="Times New Roman"/>
          <w:sz w:val="26"/>
          <w:szCs w:val="26"/>
        </w:rPr>
        <w:t xml:space="preserve">The objectives of vocational education are designed to prepare students for successful careers and fulfill the needs of society. The dual focus on thinking habits and manipulative skills </w:t>
      </w:r>
      <w:r w:rsidRPr="00210BD3">
        <w:rPr>
          <w:rFonts w:ascii="Times New Roman" w:hAnsi="Times New Roman" w:cs="Times New Roman"/>
          <w:sz w:val="26"/>
          <w:szCs w:val="26"/>
        </w:rPr>
        <w:lastRenderedPageBreak/>
        <w:t xml:space="preserve">supports these objectives by ensuring career readiness, personal development, and social responsibility. Vocational education aims to prepare students for specific careers by equipping them with the necessary cognitive and technical skills. Thinking habits, such as critical thinking and problem-solving, enable students to navigate complex workplace challenges, while manipulative skills ensure they can perform job-specific tasks with competence and confidence (Eze &amp; Chukwuma, 2024). Personal development is also a key objective, as vocational education fosters self-reliance, confidence, and a sense of accomplishment. The combination of cognitive and technical skills empowers students to take initiative, make informed decisions, and pursue continuous improvement in their personal and professional lives (Olawale &amp; Ige, 2023). Furthermore, vocational education instills a sense of social responsibility in students, encouraging them to contribute positively to their communities. By developing thinking habits, students become more aware of the broader implications of their work, while manipulative skills enable them to implement solutions that benefit society as a whole (Adewale et al., 2024). </w:t>
      </w:r>
    </w:p>
    <w:p w:rsidR="00422994" w:rsidRPr="00210BD3" w:rsidRDefault="00422994" w:rsidP="007137CC">
      <w:pPr>
        <w:spacing w:line="240" w:lineRule="auto"/>
        <w:ind w:firstLine="710"/>
        <w:jc w:val="both"/>
        <w:rPr>
          <w:rFonts w:ascii="Times New Roman" w:hAnsi="Times New Roman" w:cs="Times New Roman"/>
          <w:sz w:val="26"/>
          <w:szCs w:val="26"/>
        </w:rPr>
      </w:pPr>
      <w:r w:rsidRPr="00210BD3">
        <w:rPr>
          <w:rFonts w:ascii="Times New Roman" w:hAnsi="Times New Roman" w:cs="Times New Roman"/>
          <w:sz w:val="26"/>
          <w:szCs w:val="26"/>
        </w:rPr>
        <w:t xml:space="preserve">Analyzing the linkages between the dual nature of vocational education and its underlying philosophies, mandates, and objectives, we can see how this educational approach is designed to create well-rounded individuals prepared for the workforce and society. The integration of thinking habits and manipulative skills reflects a holistic approach to education, ensuring that students are skilled technicians and </w:t>
      </w:r>
      <w:r w:rsidRPr="00210BD3">
        <w:rPr>
          <w:rFonts w:ascii="Times New Roman" w:hAnsi="Times New Roman" w:cs="Times New Roman"/>
          <w:sz w:val="26"/>
          <w:szCs w:val="26"/>
        </w:rPr>
        <w:lastRenderedPageBreak/>
        <w:t xml:space="preserve">critical thinkers, which prepare them to adapt to new challenges, innovate, and contribute to their fields. Vocational education's dual focus aligns with the economic needs of society by producing graduates who can meet the demands of modern industries. The ability to think critically and perform technical tasks positions graduates as valuable assets to employers, driving economic growth and competitiveness. The emphasis on cognitive skills fosters a mindset of lifelong learning, enabling graduates to continuously update their knowledge and skills in response to technological advancements and changing job markets. This ensures that vocational education remains relevant and responsive to the needs of the future workforce. In summary, the dual nature of vocational education, emphasizing both thinking habits and manipulative skills, is intricately linked to its philosophies, mandates, and objectives. This approach prepares students for successful careers and equips them with the tools needed to navigate the complexities of the modern workforce and contribute positively to society. </w:t>
      </w:r>
    </w:p>
    <w:p w:rsidR="00422994" w:rsidRPr="003139A4" w:rsidRDefault="00422994" w:rsidP="007137CC">
      <w:pPr>
        <w:pStyle w:val="Heading1"/>
        <w:tabs>
          <w:tab w:val="left" w:pos="8647"/>
          <w:tab w:val="left" w:pos="9072"/>
          <w:tab w:val="left" w:pos="9214"/>
        </w:tabs>
        <w:spacing w:before="0" w:line="240" w:lineRule="auto"/>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Thinking habits  </w:t>
      </w:r>
    </w:p>
    <w:p w:rsidR="00422994" w:rsidRPr="00210BD3" w:rsidRDefault="00422994" w:rsidP="007137CC">
      <w:pPr>
        <w:tabs>
          <w:tab w:val="left" w:pos="8647"/>
          <w:tab w:val="left" w:pos="9072"/>
          <w:tab w:val="left" w:pos="9214"/>
        </w:tabs>
        <w:spacing w:after="0" w:line="240" w:lineRule="auto"/>
        <w:ind w:firstLine="710"/>
        <w:jc w:val="both"/>
        <w:rPr>
          <w:rFonts w:ascii="Times New Roman" w:hAnsi="Times New Roman" w:cs="Times New Roman"/>
          <w:sz w:val="26"/>
          <w:szCs w:val="26"/>
        </w:rPr>
      </w:pPr>
      <w:r w:rsidRPr="00210BD3">
        <w:rPr>
          <w:rFonts w:ascii="Times New Roman" w:hAnsi="Times New Roman" w:cs="Times New Roman"/>
          <w:sz w:val="26"/>
          <w:szCs w:val="26"/>
        </w:rPr>
        <w:t xml:space="preserve">The cognitive aspect of vocational education focuses on developing critical thinking, problem-solving and decision-making skills. According to Okojie (2011), these cognitive skills are crucial in vocational training as they enable individuals to adapt to new challenges, innovate within their fields, and contribute meaningfully to their organizations. Thus, to cultivate these essential cognitive skills in the classroom, educators can employ several </w:t>
      </w:r>
      <w:r w:rsidRPr="00210BD3">
        <w:rPr>
          <w:rFonts w:ascii="Times New Roman" w:hAnsi="Times New Roman" w:cs="Times New Roman"/>
          <w:sz w:val="26"/>
          <w:szCs w:val="26"/>
        </w:rPr>
        <w:lastRenderedPageBreak/>
        <w:t xml:space="preserve">strategies. Problem-Based Learning (PBL) encourages students to solve real-world problems by applying theoretical knowledge. This method fosters critical thinking and decision-making as students evaluate various solutions and justify their choices. Additionally, collaborative learning through group projects and discussions promotes teamwork and exposes students to diverse perspectives. By engaging in collaborative learning, students can refine their problem-solving skills through peer feedback and shared experiences. </w:t>
      </w:r>
    </w:p>
    <w:p w:rsidR="00422994" w:rsidRPr="00210BD3" w:rsidRDefault="00422994" w:rsidP="007137CC">
      <w:pPr>
        <w:spacing w:after="0" w:line="240" w:lineRule="auto"/>
        <w:ind w:firstLine="710"/>
        <w:jc w:val="both"/>
        <w:rPr>
          <w:rFonts w:ascii="Times New Roman" w:hAnsi="Times New Roman" w:cs="Times New Roman"/>
          <w:sz w:val="26"/>
          <w:szCs w:val="26"/>
        </w:rPr>
      </w:pPr>
      <w:r w:rsidRPr="00210BD3">
        <w:rPr>
          <w:rFonts w:ascii="Times New Roman" w:hAnsi="Times New Roman" w:cs="Times New Roman"/>
          <w:sz w:val="26"/>
          <w:szCs w:val="26"/>
        </w:rPr>
        <w:t xml:space="preserve">Analyzing case studies is another effective approach. This method allows students to dissect real-life scenarios, identify underlying issues, and propose effective solutions, thereby enhancing their ability to think critically and make informed decisions. Simulations and role-playing exercises also provide valuable experiential learning opportunities. By simulating workplace situations or engaging in role-playing, students can practice responding to challenges in a controlled environment, bridging the gap between theory and practice. Reflective practices play a significant role as well. Encouraging students to reflect on their learning experiences and thought processes helps them develop met cognitive skills. Reflection enables students to recognize their strengths and areas for improvement, fostering continuous growth.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the workplace and business environment, the cognitive skills developed through vocational education can be leveraged to solve practical problems and drive innovation. Employees with strong critical thinking </w:t>
      </w:r>
      <w:r w:rsidRPr="00210BD3">
        <w:rPr>
          <w:rFonts w:ascii="Times New Roman" w:hAnsi="Times New Roman" w:cs="Times New Roman"/>
          <w:sz w:val="26"/>
          <w:szCs w:val="26"/>
        </w:rPr>
        <w:lastRenderedPageBreak/>
        <w:t xml:space="preserve">skills can quickly adapt to new technologies, processes, and market trends. This adaptability is crucial in a rapidly changing business landscape, enabling companies to stay competitive and responsive to shifts in demand and innovation. Problem-solving skills empower employees to identify inefficiencies and develop creative solutions. By thinking outside the box, these employees can propose new products, streamline processes, and enhance customer experiences, driving growth and maintaining a competitive edge. Effective decision-making involves analyzing data, weighing options, and considering potential outcomes. Employees who excel in decision-making can make informed choices that benefit their organizations, such as optimizing resources, improving productivity, and achieving strategic goals.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Cognitive skills such as communication and teamwork are vital for collaboration. Employees who can effectively share ideas and work together are more likely to achieve common goals and drive organizational success. This collaboration fosters a culture of innovation and continuous improvement. Furthermore, graduates with well-developed cognitive skills are often better equipped for leadership roles. Their ability to think strategically, solve complex problems, and make sound decisions positions them as valuable leaders who can inspire teams, manage change, and guide their organizations toward long-term success.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Graduates who possess strong thinking habits enjoy several advantages in the workplace and business </w:t>
      </w:r>
      <w:r w:rsidRPr="00210BD3">
        <w:rPr>
          <w:rFonts w:ascii="Times New Roman" w:hAnsi="Times New Roman" w:cs="Times New Roman"/>
          <w:sz w:val="26"/>
          <w:szCs w:val="26"/>
        </w:rPr>
        <w:lastRenderedPageBreak/>
        <w:t xml:space="preserve">environment. Cognitive skills set graduates apart from their peers, making them more attractive to employers. Companies seek individuals who can think critically and contribute to innovative solutions. The ability to solve problems and make decisions effectively often leads to faster career progression. Graduates with these skills are likely to take on more responsibilities and ascend to leadership positions. Moreover, employees who can apply their cognitive skills to overcome challenges and achieve success experience higher job satisfaction. They are more engaged and motivated in their roles. Graduates who excel in critical thinking, problem-solving, and decision-making contribute significantly to their organizations' success. Their efforts drive growth, efficiency, and overall performance. </w:t>
      </w:r>
    </w:p>
    <w:p w:rsidR="00422994" w:rsidRPr="00210BD3" w:rsidRDefault="00422994" w:rsidP="007137CC">
      <w:pPr>
        <w:spacing w:after="159"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Recent research supports the importance of these skills in vocational education and their impact on the workplace. For instance, a study by Suleiman et al. (2022) emphasizes the role of cognitive skills in enhancing employability and career readiness among vocational graduates. Similarly, Agboola (2023) highlights the positive correlation between problem-solving abilities and job performance in various industries. By integrating cognitive skills development into vocational education, educators can prepare students for successful careers and equip them with the tools needed to navigate the complexities of the modern workforce. </w:t>
      </w:r>
    </w:p>
    <w:p w:rsidR="00422994" w:rsidRPr="003139A4" w:rsidRDefault="00422994" w:rsidP="007137CC">
      <w:pPr>
        <w:pStyle w:val="Heading1"/>
        <w:spacing w:before="0" w:line="240" w:lineRule="auto"/>
        <w:contextualSpacing/>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Manipulative Habits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practical aspect of vocational education involves the acquisition of hands-on skills specific to a trade or </w:t>
      </w:r>
      <w:r w:rsidRPr="00210BD3">
        <w:rPr>
          <w:rFonts w:ascii="Times New Roman" w:hAnsi="Times New Roman" w:cs="Times New Roman"/>
          <w:sz w:val="26"/>
          <w:szCs w:val="26"/>
        </w:rPr>
        <w:lastRenderedPageBreak/>
        <w:t xml:space="preserve">occupation.  Okolie and Yusif (2016) emphasize that manipulative skills are crucial for performing job-related tasks with precision and efficiency, ensuring that graduates are ready to meet the demands of employers. Manipulative habits, as part of the practical aspect of vocational education, focus on the acquisition of hands-on skills specific to a trade or occupation. These skills are critical for performing job-related tasks with precision and efficiency, ensuring that graduates are prepared to meet the demands of employers. According to Okolie and Yusif (2016), manipulative skills are essential for workforce readiness, enabling individuals to excel in their chosen fields by mastering the technical competencies required. The development of manipulative skills in the classroom can be achieved through a variety of instructional strategies and practical experiences. </w:t>
      </w:r>
    </w:p>
    <w:p w:rsidR="00422994" w:rsidRPr="00210BD3" w:rsidRDefault="00422994" w:rsidP="007137CC">
      <w:pPr>
        <w:spacing w:line="240" w:lineRule="auto"/>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the classroom, educators can employ several approaches to foster manipulative skills. One effective method is the use of hands-on training and workshops, which allow students to engage directly with the tools and equipment related to their specific trade. This hands-on approach provides students with the opportunity to practice and refine their skills in a controlled environment, where they can receive immediate feedback and guidance from instructors. By regularly engaging in practical exercises, students develop muscle memory and gain confidence in their ability to perform technical tasks accurately and efficiently (Onyema, 2023).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Apprenticeships and internships are also vital components of vocational education that enhance the development </w:t>
      </w:r>
      <w:r w:rsidRPr="00210BD3">
        <w:rPr>
          <w:rFonts w:ascii="Times New Roman" w:hAnsi="Times New Roman" w:cs="Times New Roman"/>
          <w:sz w:val="26"/>
          <w:szCs w:val="26"/>
        </w:rPr>
        <w:lastRenderedPageBreak/>
        <w:t xml:space="preserve">of manipulative skills. These programs allow students to apply their classroom learning in real-world settings under the supervision of experienced professionals. By working alongside skilled trades’ people, students gain valuable insights into industry standards and expectations. This exposure helps them understand the nuances of their trade and develop the practical skills necessary to succeed in the workplace (Nwankwo et al., 2024). Additionally, simulation-based learning can be used to recreate realistic work scenarios in the classroom. Through simulations, students can practice problem-solving and decision-making in a safe environment that mimics real-life challenges. This experiential learning approach helps bridge the gap between theory and practice, preparing students to handle complex tasks with confidence (Adekola &amp; Oyedele, 2022).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the work and business environment, the practical skills acquired through vocational education are invaluable for solving practical problems and enhancing operational efficiency. Employees with strong manipulative skills can quickly adapt to new technologies and processes, contributing to the seamless functioning of their organizations. For instance, in industries such as manufacturing, construction, and healthcare, precise and efficient execution of tasks is critical to ensuring quality and safety. Workers who possess advanced technical skills can identify inefficiencies and implement effective solutions, ultimately driving productivity and innovation (Adewuyi &amp; Adebayo, 2023). Moreover, manipulative skills facilitate effective “troubleshooting” and “maintenance” of equipment, reducing </w:t>
      </w:r>
      <w:r w:rsidRPr="00210BD3">
        <w:rPr>
          <w:rFonts w:ascii="Times New Roman" w:hAnsi="Times New Roman" w:cs="Times New Roman"/>
          <w:sz w:val="26"/>
          <w:szCs w:val="26"/>
        </w:rPr>
        <w:lastRenderedPageBreak/>
        <w:t xml:space="preserve">downtime and minimizing operational disruptions.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Graduates with well-developed manipulative skills also enjoy several advantages in the workplace and business environment. These skills provide a competitive edge, as employers often prioritize candidates who demonstrate technical proficiency and the ability to perform job-specific tasks independently. As highlighted by Suleiman et al. (2023), employers value graduates who can hit the ground running without requiring extensive training, making manipulative skills a key factor in employability. Additionally, graduates with strong manipulative skills are better positioned for career advancement. Their expertise in executing complex tasks makes them valuable assets to their organizations, leading to increased responsibilities and opportunities for growth. As they demonstrate competence and reliability, these individuals are often considered for leadership roles and specialized positions within their fields (Obi &amp; Chinedu, 2023).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Furthermore, the integration of thinking habits with manipulative skills significantly enhances graduates' effectiveness in the workplace. Critical thinking and problem-solving skills complement technical abilities, enabling individuals to approach challenges holistically and devise innovative solutions. As noted by Agboola (2024), this combination of skills empowers graduates to not only execute tasks efficiently but also to analyze situations critically and adapt to evolving circumstances. In industries that require quick decision-making and adaptability, </w:t>
      </w:r>
      <w:r w:rsidRPr="00210BD3">
        <w:rPr>
          <w:rFonts w:ascii="Times New Roman" w:hAnsi="Times New Roman" w:cs="Times New Roman"/>
          <w:sz w:val="26"/>
          <w:szCs w:val="26"/>
        </w:rPr>
        <w:lastRenderedPageBreak/>
        <w:t xml:space="preserve">such as information technology and logistics, the synergy between cognitive and manipulative skills is particularly valuable. </w:t>
      </w:r>
    </w:p>
    <w:p w:rsidR="00422994" w:rsidRPr="00210BD3" w:rsidRDefault="00422994" w:rsidP="007137CC">
      <w:pPr>
        <w:spacing w:line="240" w:lineRule="auto"/>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advantages of manipulative skills extend beyond individual career success to positively impact organizations and society as a whole. Graduates who excel in their trades contribute to the overall growth and competitiveness of their industries, driving economic development and improving the quality of products and services. By effectively applying their skills, they enhance operational efficiency, reduce costs, and ensure customer satisfaction, ultimately strengthening the reputation and sustainability of their organizations (Eze &amp; Nnadi, 2024). </w:t>
      </w:r>
    </w:p>
    <w:p w:rsidR="00422994" w:rsidRPr="00210BD3" w:rsidRDefault="00422994" w:rsidP="007137CC">
      <w:pPr>
        <w:spacing w:after="159"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Manipulative habits, as a fundamental aspect of vocational education, are essential for preparing students to meet the demands of the workforce. Through hands-on training, apprenticeships, and simulations, students develop the technical skills necessary to excel in their chosen fields. In the work and business environment, these skills enable graduates to solve practical problems, drive innovation, and contribute to the success of their organizations. The integration of thinking habits further enhances their effectiveness, empowering them to navigate complex challenges and adapt to changing circumstances. By equipping students with both manipulative and cognitive skills, vocational education plays a pivotal role in shaping a skilled and capable workforce that is prepared to meet the needs of a dynamic and evolving economy. </w:t>
      </w:r>
      <w:r w:rsidRPr="00210BD3">
        <w:rPr>
          <w:rFonts w:ascii="Times New Roman" w:hAnsi="Times New Roman" w:cs="Times New Roman"/>
          <w:sz w:val="26"/>
          <w:szCs w:val="26"/>
        </w:rPr>
        <w:tab/>
      </w:r>
    </w:p>
    <w:p w:rsidR="00422994" w:rsidRPr="003139A4" w:rsidRDefault="00422994" w:rsidP="007137CC">
      <w:pPr>
        <w:pStyle w:val="Heading1"/>
        <w:spacing w:before="0" w:line="240" w:lineRule="auto"/>
        <w:contextualSpacing/>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lastRenderedPageBreak/>
        <w:t xml:space="preserve">Significance of Theorem 3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significance of Theorem 3 lies in its emphasis on the holistic nature of vocational education, which challenges the traditional notion that vocational training is solely about acquiring technical skills. By advocating for the development of both thinking and manipulative habits, Prosser highlights the need for a balanced approach that prepares students for the complexities of the modern workforce. This balanced approach is crucial for producing well-rounded and competent professionals who can thrive in various work environments (Nwogu and Nwanoruo, 2011). The relevance of this dual focus extends beyond individual learners, impacting vocational education graduates, undergraduates, lecturers, industries, national development, and the achievement of global needs and agendas.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Focusing on vocational education graduates, the dual emphasis on thinking and manipulative habits provides a comprehensive skill set that enhances their employability and career success. Graduates equipped with cognitive skills such as critical thinking, problem-solving, and decision-making are better prepared to navigate the complexities of the modern workplace. They can adapt to new challenges, innovate within their fields, and contribute meaningfully to their organizations. Additionally, the manipulative skills acquired through hands-on training enable graduates to perform job-specific tasks with precision and efficiency, making them valuable assets to employers (Suleiman et al., 2023). This combination of skills empowers graduates to excel in diverse </w:t>
      </w:r>
      <w:r w:rsidRPr="00210BD3">
        <w:rPr>
          <w:rFonts w:ascii="Times New Roman" w:hAnsi="Times New Roman" w:cs="Times New Roman"/>
          <w:sz w:val="26"/>
          <w:szCs w:val="26"/>
        </w:rPr>
        <w:lastRenderedPageBreak/>
        <w:t xml:space="preserve">work environments, from technical fields like engineering and healthcare to creative industries such as design and media. Therefore, for undergraduates, Theorem 3 underscores the importance of a well-rounded education that goes beyond technical proficiency. By integrating cognitive skills development into vocational training, students gain the ability to think critically and analytically, fostering a deeper understanding of their chosen fields. This approach encourages a culture of continuous learning and curiosity, enabling students to explore innovative solutions and approaches to problems. As students engage with both theoretical concepts and practical applications, they become more versatile learners, capable of adapting to changing industry demands and technological advancements (Adamu &amp; Ibrahim, 2024).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Lecturers play a pivotal role in implementing the principles of Theorem 3 within vocational education programs. By designing curricula that emphasize both cognitive and manipulative skills, educators can create learning environments that encourage holistic development. Lecturers can employ teaching methods such as problem-based learning, collaborative projects, and real-world simulations to cultivate students' critical thinking abilities while providing ample opportunities for hands-on practice. Additionally, lecturers can serve as mentors and facilitators, guiding students in developing the skills necessary for success in their chosen careers (Nwankwo et al., 2024). By fostering an environment that values both intellectual and practical growth, </w:t>
      </w:r>
      <w:r w:rsidRPr="00210BD3">
        <w:rPr>
          <w:rFonts w:ascii="Times New Roman" w:hAnsi="Times New Roman" w:cs="Times New Roman"/>
          <w:sz w:val="26"/>
          <w:szCs w:val="26"/>
        </w:rPr>
        <w:lastRenderedPageBreak/>
        <w:t xml:space="preserve">lecturers contribute to the creation of a skilled and adaptable workforce.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Industries benefit significantly from the holistic approach advocated by Theorem 3, as it produces graduates who possess a diverse range of skills and competencies. Employers increasingly seek individuals who can contribute not only through technical expertise but also through innovative thinking and problemsolving. Graduates who embody the principles of Theorem 3 bring creativity, adaptability, and a proactive mindset to their roles, driving innovation and enhancing organizational performance. In sectors such as technology, manufacturing, and healthcare, where rapid advancements and complex challenges are common, the ability to think critically and execute tasks efficiently is invaluable (Adewuyi &amp; Adebayo, 2023). Furthermore, industries that prioritize the development of both thinking and manipulative skills in their workforce are better positioned to remain competitive in a globalized economy.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On a national level, the significance of Theorem 3 extends to the broader context of economic and social development. Vocational education that embraces both cognitive and manipulative skills contributes to the creation of a skilled workforce that can drive economic growth and innovation. By equipping individuals with the tools needed to address complex challenges, vocational education supports industries in achieving higher levels of productivity and competitiveness. Additionally, the holistic approach advocated by Theorem 3 aligns with the goals of national development agendas, which often </w:t>
      </w:r>
      <w:r w:rsidRPr="00210BD3">
        <w:rPr>
          <w:rFonts w:ascii="Times New Roman" w:hAnsi="Times New Roman" w:cs="Times New Roman"/>
          <w:sz w:val="26"/>
          <w:szCs w:val="26"/>
        </w:rPr>
        <w:lastRenderedPageBreak/>
        <w:t xml:space="preserve">emphasize the importance of education and skills training in reducing unemployment and poverty (Eze &amp; Nnadi, 2024). A workforce that possesses a balance of cognitive and technical skills is better equipped to address societal needs, improve infrastructure, and contribute to sustainable development initiatives.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global significance of Theorem 3 is evident in its alignment with international agendas, such as the United Nations Sustainable Development Goals (SDGs). The SDGs emphasize the importance of quality education and lifelong learning opportunities for all, recognizing education as a key driver of sustainable development. The holistic approach to vocational education advocated by Theorem 3 supports the achievement of these global goals by preparing individuals to address complex global challenges, such as climate change, technological advancement, and social inequality. By fostering skills that promote innovation, adaptability, and problem-solving, vocational education graduates are better equipped to contribute to the realization of global needs and agendas (Adekola &amp; Oyedele, 2022). </w:t>
      </w:r>
    </w:p>
    <w:p w:rsidR="00422994" w:rsidRPr="00210BD3" w:rsidRDefault="00422994" w:rsidP="007137CC">
      <w:pPr>
        <w:spacing w:after="159"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significance of Theorem 3 lies in its emphasis on the holistic nature of vocational education, which prepares individuals for the complexities of the modern workforce. By advocating for the development of both thinking and manipulative habits, Theorem 3 highlights the importance of a balanced approach that produces well-rounded and competent professionals. This dual attributes focus impacts vocational education graduates, undergraduates, </w:t>
      </w:r>
      <w:r w:rsidRPr="00210BD3">
        <w:rPr>
          <w:rFonts w:ascii="Times New Roman" w:hAnsi="Times New Roman" w:cs="Times New Roman"/>
          <w:sz w:val="26"/>
          <w:szCs w:val="26"/>
        </w:rPr>
        <w:lastRenderedPageBreak/>
        <w:t xml:space="preserve">lecturers, industries, national development, and the achievement of global needs and agenda. By equipping individuals with a comprehensive skill set, vocational education plays a pivotal role in shaping a skilled and adaptable workforce that is prepared to address the challenges and opportunities of a rapidly changing world. </w:t>
      </w:r>
    </w:p>
    <w:p w:rsidR="00422994" w:rsidRPr="003139A4" w:rsidRDefault="00422994" w:rsidP="007137CC">
      <w:pPr>
        <w:pStyle w:val="Heading1"/>
        <w:spacing w:before="0" w:line="240" w:lineRule="auto"/>
        <w:contextualSpacing/>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Implications of Theorem 3 for Modern Vocational Education</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today’s rapidly changing world, the principles outlined in Theorem 3 are more relevant than ever. The modern workforce requires individuals who possess both technical skills and the ability to think critically and creatively. This dual focus is crucial for preparing students to navigate the complexities of contemporary work environments.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Currently, the vocational education system in Nigeria is structured around several key components. Technical colleges and vocational schools offer programs in fields such as agriculture, engineering, construction, and business. These programs typically span two to three years and culminate in diplomas or certificates, providing students with the practical skills needed for immediate employment. Additionally, polytechnics offer higher education programs that include National Diploma (ND) and Higher National Diploma (HND) courses, blending technical training with theoretical knowledge. Some universities also incorporate vocational elements into their curricula, aiming to produce graduates who are both academically and practically proficient.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lastRenderedPageBreak/>
        <w:t xml:space="preserve">Recent trends in Nigerian vocational education include an increased emphasis on technical skills, a growing focus on entrepreneurship, and the development of public-private partnerships to align training with industry needs. The integration of digital tools and technology in vocational programs is also on the rise. However, challenges such as inadequate funding, outdated infrastructure, and a shortage of qualified instructors persist. Vocational education professionals have to advocate for enhanced funding for vocational education institutions under the ownership of government in addition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Stakeholders in all academic programme, especially those under the vocational education, or comprehensively called, “technical and vocational education and training” (TVET) family should advocate for improved adequate funding for all vocational education programmes from ownership/proprietors. Also, there is need for stakeholders to align their management, administrative and delivery strategies with the principles of Theorem 3 and meet the demands of the modern workforce, the Nigerian vocational education system would benefit from several enhancements. A balanced curriculum that integrates both technical and cognitive skills is essential. Providing flexible learning pathways that allow students to progress from basic skills training to advanced qualifications can also support career development. Strengthening industry collaboration, investing in infrastructure, and encouraging innovation and research are crucial steps. Additionally, integrating global perspectives and trends into </w:t>
      </w:r>
      <w:r w:rsidRPr="00210BD3">
        <w:rPr>
          <w:rFonts w:ascii="Times New Roman" w:hAnsi="Times New Roman" w:cs="Times New Roman"/>
          <w:sz w:val="26"/>
          <w:szCs w:val="26"/>
        </w:rPr>
        <w:lastRenderedPageBreak/>
        <w:t xml:space="preserve">vocational education programs can better prepare students for a globalized economy.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Embracing the principles of Theorem 3 has significant implications for vocational education. Graduates who possess both technical skills and cognitive abilities are more likely to secure employment and advance in their careers. They can adapt to new challenges, drive innovation, and contribute effectively to their organizations. This holistic approach supports national development by producing a skilled workforce that can drive economic growth and productivity. It also aligns with global agendas, such as the United Nations Sustainable Development Goals (SDGs), by preparing individuals to address complex global challenges. </w:t>
      </w:r>
    </w:p>
    <w:p w:rsidR="00422994" w:rsidRPr="00210BD3" w:rsidRDefault="00422994" w:rsidP="007137CC">
      <w:pPr>
        <w:spacing w:line="240" w:lineRule="auto"/>
        <w:ind w:firstLine="72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principles outlined in Theorem 3 highlight the need for a comprehensive approach to vocational education that combines technical and cognitive skills. Understanding the current structure, trends, and ideal scenarios for vocational education in Nigeria is essential for aligning educational practices with the needs of the modern workforce and contributing to national and global development. </w:t>
      </w:r>
    </w:p>
    <w:p w:rsidR="00422994" w:rsidRPr="003139A4" w:rsidRDefault="00422994" w:rsidP="007137CC">
      <w:pPr>
        <w:pStyle w:val="Heading1"/>
        <w:spacing w:before="0" w:line="240" w:lineRule="auto"/>
        <w:contextualSpacing/>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Value addition for the delivery of vocational education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Vocational education programs should integrate cognitive skills training with technical instruction. According to Umar and Ma'aji (2010) , this integration can be achieved through problem-based learning, where students are presented with realworld challenges that require them to apply both their technical </w:t>
      </w:r>
      <w:r w:rsidRPr="00210BD3">
        <w:rPr>
          <w:rFonts w:ascii="Times New Roman" w:hAnsi="Times New Roman" w:cs="Times New Roman"/>
          <w:sz w:val="26"/>
          <w:szCs w:val="26"/>
        </w:rPr>
        <w:lastRenderedPageBreak/>
        <w:t xml:space="preserve">knowledge and critical thinking abilities. By engaging students in tasks that mimic actual workplace scenarios, educators can foster the development of both thinking and manipulative habits. Integrating cognitive and technical skills in vocational education programs is essential for preparing students to navigate the complexities of the modern workforce. Umar and Ma'aji (2010) highlighted that this integration can be effectively achieved through problem-based learning, where students tackle real-world challenges requiring both technical expertise and critical thinking. Engaging students in tasks that closely resemble actual workplace scenarios fosters the development of both thinking and manipulative skills, bridging the gap between theoretical knowledge and practical application.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In a view to enhance this integration, several key strategies should be employed. A renewed emphasis on practice with modern work tools is vital. Studies such as those by Oladimeji and Tunde (2022) emphasize that hands-on experience with current technologies improves students' readiness for the workforce. Using advanced tools allows students to develop skills relevant to the evolving demands of various industries and enhances their employability. Exposure to work ethics is another critical aspect. Research by Okeke et al. (2021) shows that incorporating lessons on professional behavior and workplace culture into the curriculum helps students understand professional norms and expectations, facilitating smoother transitions into the workforce. This exposure equips students with the soft skills necessary for effective </w:t>
      </w:r>
      <w:r w:rsidRPr="00210BD3">
        <w:rPr>
          <w:rFonts w:ascii="Times New Roman" w:hAnsi="Times New Roman" w:cs="Times New Roman"/>
          <w:sz w:val="26"/>
          <w:szCs w:val="26"/>
        </w:rPr>
        <w:lastRenderedPageBreak/>
        <w:t xml:space="preserve">communication, teamwork, and adherence to ethical standards in their future careers.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The involvement of industry-based resource persons in the classroom is also valuable. Inviting professionals from various industries to share their expertise provides students with insights into current industry practices and trends. According to Akinola and Bello (2023), such interactions enrich the learning experience by offering practical knowledge and networking opportunities that align with real-world applications. This approach bridges the gap between academic learning and industry needs.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An enhanced funding regime for vocational education is essential for implementing these integrative approaches. Research by Chukwuma and Eze (2024) highlights that increased financial support enables institutions to acquire modern equipment, develop innovative teaching methods, and recruit qualified instructors. Improved funding also facilitates the continuous updating of programs to reflect industry advancements and maintain relevance. </w:t>
      </w:r>
    </w:p>
    <w:p w:rsidR="00422994" w:rsidRPr="00210BD3" w:rsidRDefault="00422994" w:rsidP="007137CC">
      <w:pPr>
        <w:spacing w:line="240" w:lineRule="auto"/>
        <w:ind w:firstLine="710"/>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Finally, raising awareness about the importance of integrating cognitive and technical skills is crucial for garnering support from students, educators, and industry stakeholders. A study by Olukayode and Adeoye (2022) emphasizes that awareness campaigns and advocacy can foster a greater understanding of the benefits of a holistic approach to vocational education. Promoting the advantages of this integration encourages broader adoption and enhances the overall effectiveness of training programs. By implementing these strategies, vocational education </w:t>
      </w:r>
      <w:r w:rsidRPr="00210BD3">
        <w:rPr>
          <w:rFonts w:ascii="Times New Roman" w:hAnsi="Times New Roman" w:cs="Times New Roman"/>
          <w:sz w:val="26"/>
          <w:szCs w:val="26"/>
        </w:rPr>
        <w:lastRenderedPageBreak/>
        <w:t xml:space="preserve">programs can better prepare students for successful careers. This comprehensive approach not only enhances students' technical and cognitive skills but also provides them with the practical experience and professional knowledge needed to excel in today's competitive job market. </w:t>
      </w:r>
    </w:p>
    <w:p w:rsidR="003139A4" w:rsidRDefault="003139A4" w:rsidP="007137CC">
      <w:pPr>
        <w:spacing w:line="240" w:lineRule="auto"/>
        <w:contextualSpacing/>
        <w:jc w:val="both"/>
        <w:rPr>
          <w:rFonts w:ascii="Times New Roman" w:hAnsi="Times New Roman" w:cs="Times New Roman"/>
          <w:b/>
          <w:sz w:val="26"/>
          <w:szCs w:val="26"/>
        </w:rPr>
      </w:pPr>
    </w:p>
    <w:p w:rsidR="00422994" w:rsidRPr="00210BD3" w:rsidRDefault="00422994" w:rsidP="007137CC">
      <w:pPr>
        <w:spacing w:line="240" w:lineRule="auto"/>
        <w:contextualSpacing/>
        <w:jc w:val="both"/>
        <w:rPr>
          <w:rFonts w:ascii="Times New Roman" w:hAnsi="Times New Roman" w:cs="Times New Roman"/>
          <w:b/>
          <w:sz w:val="26"/>
          <w:szCs w:val="26"/>
        </w:rPr>
      </w:pPr>
      <w:r w:rsidRPr="00210BD3">
        <w:rPr>
          <w:rFonts w:ascii="Times New Roman" w:hAnsi="Times New Roman" w:cs="Times New Roman"/>
          <w:b/>
          <w:sz w:val="26"/>
          <w:szCs w:val="26"/>
        </w:rPr>
        <w:t>Emphasis on lifelong learning</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The emphasis on thinking habits in Theorem 3 aligns closely with the concept of lifelong learning, which is increasingly recognized as essential in today’s 21</w:t>
      </w:r>
      <w:r w:rsidRPr="00210BD3">
        <w:rPr>
          <w:rFonts w:ascii="Times New Roman" w:hAnsi="Times New Roman" w:cs="Times New Roman"/>
          <w:sz w:val="26"/>
          <w:szCs w:val="26"/>
          <w:vertAlign w:val="superscript"/>
        </w:rPr>
        <w:t>st</w:t>
      </w:r>
      <w:r w:rsidRPr="00210BD3">
        <w:rPr>
          <w:rFonts w:ascii="Times New Roman" w:hAnsi="Times New Roman" w:cs="Times New Roman"/>
          <w:sz w:val="26"/>
          <w:szCs w:val="26"/>
        </w:rPr>
        <w:t xml:space="preserve"> Century dynamic job market. Oviawe (2018) observes that as industries continually evolve due to technological advancements and shifting market demands, workers must continually update their skills and knowledge to stay relevant. This necessity underscores the importance of fostering a culture of lifelong learning within vocational education programs. Vocational education programs that emphasize thinking habits prepare students not only for their initial entry into the workforce but also for ongoing professional development throughout their careers. By cultivating a mindset geared towards curiosity, critical thinking, and problem-solving, these programs encourage students to view learning as an ongoing process rather than a finite stage of their education. This approach helps students adapt to new technologies, industry practices, and emerging fields, thus enhancing their career longevity and versatility. One effective strategy for promoting lifelong learning is integrating self-directed learning into the curriculum. According to Nwaogwugwu and Igbokwe (2022), </w:t>
      </w:r>
      <w:r w:rsidRPr="00210BD3">
        <w:rPr>
          <w:rFonts w:ascii="Times New Roman" w:hAnsi="Times New Roman" w:cs="Times New Roman"/>
          <w:sz w:val="26"/>
          <w:szCs w:val="26"/>
        </w:rPr>
        <w:lastRenderedPageBreak/>
        <w:t xml:space="preserve">selfdirected learning empowers students to take control of their own educational paths, seek out additional resources, and pursue specialized knowledge based on their evolving interests and career goals. This autonomy in learning fosters a proactive attitude towards continuous skill development. </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Another crucial aspect is the incorporation of reflective practices. Encouraging students to regularly assess their learning experiences and career progress helps them identify areas for improvement and growth. Reflective practices, as discussed by Adeyemo and Okonkwo (2021), facilitate self-awareness and a commitment to ongoing personal and professional development, which is essential for adapting to changing job requirements. </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Vocational education programs should also emphasize the importance of staying informed about industry trends and advancements. Engaging students with current research, industry reports, and professional networks helps them remain connected to the latest developments in their fields. According to Olubunmi and Ijioma (2023), such engagement not only supports lifelong learning but also enhances students’ ability to anticipate and respond to future industry changes. </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Furthermore, creating opportunities for continued education and training beyond the initial vocational program is vital. Partnerships with industry organizations, professional associations, and academic institutions can provide pathways for graduates to pursue advanced certifications, specialized training, and higher education degrees. As highlighted by Eze </w:t>
      </w:r>
      <w:r w:rsidRPr="00210BD3">
        <w:rPr>
          <w:rFonts w:ascii="Times New Roman" w:hAnsi="Times New Roman" w:cs="Times New Roman"/>
          <w:sz w:val="26"/>
          <w:szCs w:val="26"/>
        </w:rPr>
        <w:lastRenderedPageBreak/>
        <w:t xml:space="preserve">and Okafor (2024), these opportunities enable individuals to build on their foundational skills and adapt to evolving career demands. Integrating a focus on thinking habits within vocational education fosters a lifelong learning mindset among students. This approach not only prepares individuals to thrive in their initial roles but also equips them with the skills and attitude necessary for continuous growth and adaptation throughout their careers. By fostering a culture of curiosity, self-directed learning, and industry engagement, vocational education programs contribute to a resilient and adaptable workforce capable of meeting the challenges of a rapidly changing world. </w:t>
      </w:r>
    </w:p>
    <w:p w:rsidR="00422994" w:rsidRPr="00210BD3" w:rsidRDefault="00422994" w:rsidP="007137CC">
      <w:pPr>
        <w:spacing w:after="0" w:line="240" w:lineRule="auto"/>
        <w:contextualSpacing/>
        <w:jc w:val="both"/>
        <w:rPr>
          <w:rFonts w:ascii="Times New Roman" w:hAnsi="Times New Roman" w:cs="Times New Roman"/>
          <w:sz w:val="26"/>
          <w:szCs w:val="26"/>
        </w:rPr>
      </w:pPr>
    </w:p>
    <w:p w:rsidR="00422994" w:rsidRPr="00210BD3" w:rsidRDefault="00422994" w:rsidP="007137CC">
      <w:pPr>
        <w:spacing w:after="0" w:line="240" w:lineRule="auto"/>
        <w:contextualSpacing/>
        <w:jc w:val="both"/>
        <w:rPr>
          <w:rFonts w:ascii="Times New Roman" w:hAnsi="Times New Roman" w:cs="Times New Roman"/>
          <w:b/>
          <w:sz w:val="26"/>
          <w:szCs w:val="26"/>
        </w:rPr>
      </w:pPr>
      <w:r w:rsidRPr="00210BD3">
        <w:rPr>
          <w:rFonts w:ascii="Times New Roman" w:hAnsi="Times New Roman" w:cs="Times New Roman"/>
          <w:b/>
          <w:sz w:val="26"/>
          <w:szCs w:val="26"/>
        </w:rPr>
        <w:t>Use of technology in vocational education</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Technology plays a crucial role in modern vocational education. Okoye and Okwelle (2013) highlight the potential of online learning platforms, simulations, and virtual reality in providing students with opportunities to develop both thinking and manipulative habits in a safe and controlled environment. These technologies enable students to practice skills, receive immediate feedback, and refine their abilities without the constraints of traditional classroom settings. By leveraging technology, vocational education programs can offer more personalized and effective learning experiences.</w:t>
      </w:r>
    </w:p>
    <w:p w:rsidR="00422994" w:rsidRPr="00210BD3" w:rsidRDefault="00422994" w:rsidP="007137CC">
      <w:pPr>
        <w:spacing w:after="0" w:line="240" w:lineRule="auto"/>
        <w:contextualSpacing/>
        <w:jc w:val="both"/>
        <w:rPr>
          <w:rFonts w:ascii="Times New Roman" w:hAnsi="Times New Roman" w:cs="Times New Roman"/>
          <w:sz w:val="26"/>
          <w:szCs w:val="26"/>
        </w:rPr>
      </w:pPr>
    </w:p>
    <w:p w:rsidR="00422994" w:rsidRPr="00210BD3" w:rsidRDefault="00422994" w:rsidP="007137CC">
      <w:pPr>
        <w:spacing w:after="0" w:line="240" w:lineRule="auto"/>
        <w:contextualSpacing/>
        <w:jc w:val="both"/>
        <w:rPr>
          <w:rFonts w:ascii="Times New Roman" w:hAnsi="Times New Roman" w:cs="Times New Roman"/>
          <w:b/>
          <w:sz w:val="26"/>
          <w:szCs w:val="26"/>
        </w:rPr>
      </w:pPr>
      <w:r w:rsidRPr="00210BD3">
        <w:rPr>
          <w:rFonts w:ascii="Times New Roman" w:hAnsi="Times New Roman" w:cs="Times New Roman"/>
          <w:b/>
          <w:sz w:val="26"/>
          <w:szCs w:val="26"/>
        </w:rPr>
        <w:t>A critique of Theorem 3</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While Theorem 3 offers valuable insights into the design of vocational education programs, it is not without its limitations. One critique is that the </w:t>
      </w:r>
      <w:r w:rsidRPr="00210BD3">
        <w:rPr>
          <w:rFonts w:ascii="Times New Roman" w:hAnsi="Times New Roman" w:cs="Times New Roman"/>
          <w:sz w:val="26"/>
          <w:szCs w:val="26"/>
        </w:rPr>
        <w:lastRenderedPageBreak/>
        <w:t xml:space="preserve">emphasis on thinking habits may not be fully realized in practice, as many vocational programs continue to prioritize technical skills over cognitive development. This imbalance can result in graduates who are technically proficient but lack the critical thinking and problem-solving abilities required for career advancement (Ayonmike et al., 2015). Another critique is that the application of Theorem 3 may vary across different industries and occupations. While some fields may benefit from a strong emphasis on cognitive skills, others may prioritize technical proficiency.  Obi and Chimezie (2012)  suggest that vocational education programs must be tailored to the specific needs of each industry, ensuring that students are equipped with the appropriate balance of thinking and manipulative habits. Finally, the implementation of Theorem 3 may be hindered by resource constraints and institutional barriers.  Babalola (2011)  argues that educators may lack the training, support, and resources necessary to effectively integrate cognitive skills training into vocational curricula. Addressing these challenges requires a concerted effort from </w:t>
      </w:r>
      <w:r w:rsidRPr="00210BD3">
        <w:rPr>
          <w:rFonts w:ascii="Times New Roman" w:hAnsi="Times New Roman" w:cs="Times New Roman"/>
          <w:sz w:val="26"/>
          <w:szCs w:val="26"/>
        </w:rPr>
        <w:lastRenderedPageBreak/>
        <w:t>policymakers, educational institutions, and industry stakeholders to invest in the development and delivery of high-quality vocational education programs.</w:t>
      </w:r>
    </w:p>
    <w:p w:rsidR="00422994" w:rsidRPr="00210BD3" w:rsidRDefault="00422994" w:rsidP="007137CC">
      <w:pPr>
        <w:spacing w:after="0" w:line="240" w:lineRule="auto"/>
        <w:contextualSpacing/>
        <w:jc w:val="both"/>
        <w:rPr>
          <w:rFonts w:ascii="Times New Roman" w:hAnsi="Times New Roman" w:cs="Times New Roman"/>
          <w:sz w:val="26"/>
          <w:szCs w:val="26"/>
        </w:rPr>
      </w:pPr>
    </w:p>
    <w:p w:rsidR="00422994" w:rsidRPr="00210BD3" w:rsidRDefault="00422994" w:rsidP="007137CC">
      <w:pPr>
        <w:spacing w:after="0" w:line="240" w:lineRule="auto"/>
        <w:contextualSpacing/>
        <w:jc w:val="both"/>
        <w:rPr>
          <w:rFonts w:ascii="Times New Roman" w:hAnsi="Times New Roman" w:cs="Times New Roman"/>
          <w:b/>
          <w:sz w:val="26"/>
          <w:szCs w:val="26"/>
        </w:rPr>
      </w:pPr>
      <w:r w:rsidRPr="00210BD3">
        <w:rPr>
          <w:rFonts w:ascii="Times New Roman" w:hAnsi="Times New Roman" w:cs="Times New Roman"/>
          <w:b/>
          <w:sz w:val="26"/>
          <w:szCs w:val="26"/>
        </w:rPr>
        <w:t>Final thought</w:t>
      </w:r>
    </w:p>
    <w:p w:rsidR="00422994" w:rsidRPr="00210BD3" w:rsidRDefault="00422994" w:rsidP="007137CC">
      <w:pPr>
        <w:spacing w:after="0" w:line="240" w:lineRule="auto"/>
        <w:ind w:firstLine="709"/>
        <w:contextualSpacing/>
        <w:jc w:val="both"/>
        <w:rPr>
          <w:rFonts w:ascii="Times New Roman" w:hAnsi="Times New Roman" w:cs="Times New Roman"/>
          <w:sz w:val="26"/>
          <w:szCs w:val="26"/>
        </w:rPr>
      </w:pPr>
      <w:r w:rsidRPr="00210BD3">
        <w:rPr>
          <w:rFonts w:ascii="Times New Roman" w:hAnsi="Times New Roman" w:cs="Times New Roman"/>
          <w:sz w:val="26"/>
          <w:szCs w:val="26"/>
        </w:rPr>
        <w:t xml:space="preserve">Conclusively, Theorem 3 of Charles Prosser’s vocational education principles emphasize the necessity of nurturing both cognitive and practical skills in students. This comprehensive approach is crucial for preparing individuals to excel in today’s workforce, where critical thinking and adaptability are as important as technical expertise. By merging cognitive skill development with technical training, promoting lifelong learning, utilizing modern technology, and fostering partnerships with industry, vocational education programs can equip students with the necessary tools to succeed in their careers. Although there are challenges in applying these principles, they continue to serve as a framework for educators in designing effective vocational training programs that meet the evolving needs of both students and employers in the modern era. </w:t>
      </w:r>
      <w:r w:rsidRPr="00210BD3">
        <w:rPr>
          <w:rFonts w:ascii="Times New Roman" w:hAnsi="Times New Roman" w:cs="Times New Roman"/>
          <w:sz w:val="26"/>
          <w:szCs w:val="26"/>
        </w:rPr>
        <w:tab/>
      </w:r>
    </w:p>
    <w:p w:rsidR="00422994" w:rsidRPr="00210BD3" w:rsidRDefault="00422994" w:rsidP="007137CC">
      <w:pPr>
        <w:spacing w:after="0" w:line="240" w:lineRule="auto"/>
        <w:contextualSpacing/>
        <w:jc w:val="both"/>
        <w:rPr>
          <w:rFonts w:ascii="Times New Roman" w:hAnsi="Times New Roman" w:cs="Times New Roman"/>
          <w:sz w:val="26"/>
          <w:szCs w:val="26"/>
        </w:rPr>
      </w:pPr>
    </w:p>
    <w:p w:rsidR="002614B2" w:rsidRDefault="002614B2" w:rsidP="007137CC">
      <w:pPr>
        <w:tabs>
          <w:tab w:val="left" w:pos="8647"/>
          <w:tab w:val="left" w:pos="9072"/>
          <w:tab w:val="left" w:pos="9214"/>
        </w:tabs>
        <w:spacing w:after="0" w:line="240" w:lineRule="auto"/>
        <w:jc w:val="both"/>
        <w:rPr>
          <w:rFonts w:ascii="Times New Roman" w:hAnsi="Times New Roman" w:cs="Times New Roman"/>
          <w:b/>
          <w:sz w:val="26"/>
          <w:szCs w:val="26"/>
        </w:rPr>
        <w:sectPr w:rsidR="002614B2" w:rsidSect="002614B2">
          <w:type w:val="continuous"/>
          <w:pgSz w:w="12240" w:h="15840" w:code="1"/>
          <w:pgMar w:top="1440" w:right="1440" w:bottom="1440" w:left="1440" w:header="706" w:footer="706" w:gutter="0"/>
          <w:cols w:num="2" w:space="708"/>
          <w:docGrid w:linePitch="360"/>
        </w:sectPr>
      </w:pPr>
    </w:p>
    <w:p w:rsidR="00750353" w:rsidRDefault="00750353">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422994" w:rsidRDefault="00422994" w:rsidP="007137CC">
      <w:pPr>
        <w:tabs>
          <w:tab w:val="left" w:pos="8647"/>
          <w:tab w:val="left" w:pos="9072"/>
          <w:tab w:val="left" w:pos="9214"/>
        </w:tabs>
        <w:spacing w:after="0" w:line="240" w:lineRule="auto"/>
        <w:jc w:val="both"/>
        <w:rPr>
          <w:rFonts w:ascii="Times New Roman" w:hAnsi="Times New Roman" w:cs="Times New Roman"/>
          <w:b/>
          <w:sz w:val="26"/>
          <w:szCs w:val="26"/>
        </w:rPr>
      </w:pPr>
      <w:r w:rsidRPr="00210BD3">
        <w:rPr>
          <w:rFonts w:ascii="Times New Roman" w:hAnsi="Times New Roman" w:cs="Times New Roman"/>
          <w:b/>
          <w:sz w:val="26"/>
          <w:szCs w:val="26"/>
        </w:rPr>
        <w:lastRenderedPageBreak/>
        <w:t xml:space="preserve">References </w:t>
      </w:r>
    </w:p>
    <w:p w:rsidR="003139A4" w:rsidRPr="00210BD3" w:rsidRDefault="003139A4" w:rsidP="007137CC">
      <w:pPr>
        <w:tabs>
          <w:tab w:val="left" w:pos="8647"/>
          <w:tab w:val="left" w:pos="9072"/>
          <w:tab w:val="left" w:pos="9214"/>
        </w:tabs>
        <w:spacing w:after="0" w:line="240" w:lineRule="auto"/>
        <w:jc w:val="both"/>
        <w:rPr>
          <w:rFonts w:ascii="Times New Roman" w:hAnsi="Times New Roman" w:cs="Times New Roman"/>
          <w:b/>
          <w:sz w:val="26"/>
          <w:szCs w:val="26"/>
        </w:rPr>
      </w:pP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Adamu, M., &amp; Ibrahim, T. (2024). Vocational education and constructivist learning:</w:t>
      </w:r>
      <w:r w:rsidR="00C8697E" w:rsidRPr="00210BD3">
        <w:rPr>
          <w:rFonts w:ascii="Times New Roman" w:hAnsi="Times New Roman" w:cs="Times New Roman"/>
          <w:sz w:val="26"/>
          <w:szCs w:val="26"/>
        </w:rPr>
        <w:t xml:space="preserve"> Bridging theory and practice. </w:t>
      </w:r>
      <w:r w:rsidRPr="00210BD3">
        <w:rPr>
          <w:rFonts w:ascii="Times New Roman" w:hAnsi="Times New Roman" w:cs="Times New Roman"/>
          <w:i/>
          <w:sz w:val="26"/>
          <w:szCs w:val="26"/>
        </w:rPr>
        <w:t>Nigerian Jour</w:t>
      </w:r>
      <w:r w:rsidR="00C8697E" w:rsidRPr="00210BD3">
        <w:rPr>
          <w:rFonts w:ascii="Times New Roman" w:hAnsi="Times New Roman" w:cs="Times New Roman"/>
          <w:i/>
          <w:sz w:val="26"/>
          <w:szCs w:val="26"/>
        </w:rPr>
        <w:t>nal of Educational Research</w:t>
      </w:r>
      <w:r w:rsidR="00C8697E" w:rsidRPr="00210BD3">
        <w:rPr>
          <w:rFonts w:ascii="Times New Roman" w:hAnsi="Times New Roman" w:cs="Times New Roman"/>
          <w:sz w:val="26"/>
          <w:szCs w:val="26"/>
        </w:rPr>
        <w:t>, 23</w:t>
      </w:r>
      <w:r w:rsidRPr="00210BD3">
        <w:rPr>
          <w:rFonts w:ascii="Times New Roman" w:hAnsi="Times New Roman" w:cs="Times New Roman"/>
          <w:sz w:val="26"/>
          <w:szCs w:val="26"/>
        </w:rPr>
        <w:t xml:space="preserve">(2), 87-98.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Adamu, M., &amp; Ibrahim, T. (2024). Vocational education and constructivist learning: Bridging theory and practi</w:t>
      </w:r>
      <w:r w:rsidR="00C8697E" w:rsidRPr="00210BD3">
        <w:rPr>
          <w:rFonts w:ascii="Times New Roman" w:hAnsi="Times New Roman" w:cs="Times New Roman"/>
          <w:sz w:val="26"/>
          <w:szCs w:val="26"/>
        </w:rPr>
        <w:t xml:space="preserve">ce. </w:t>
      </w:r>
      <w:r w:rsidRPr="00210BD3">
        <w:rPr>
          <w:rFonts w:ascii="Times New Roman" w:hAnsi="Times New Roman" w:cs="Times New Roman"/>
          <w:i/>
          <w:sz w:val="26"/>
          <w:szCs w:val="26"/>
        </w:rPr>
        <w:t>Nigerian Jour</w:t>
      </w:r>
      <w:r w:rsidR="00C8697E" w:rsidRPr="00210BD3">
        <w:rPr>
          <w:rFonts w:ascii="Times New Roman" w:hAnsi="Times New Roman" w:cs="Times New Roman"/>
          <w:i/>
          <w:sz w:val="26"/>
          <w:szCs w:val="26"/>
        </w:rPr>
        <w:t>nal of Educational Research</w:t>
      </w:r>
      <w:r w:rsidR="00C8697E" w:rsidRPr="00210BD3">
        <w:rPr>
          <w:rFonts w:ascii="Times New Roman" w:hAnsi="Times New Roman" w:cs="Times New Roman"/>
          <w:sz w:val="26"/>
          <w:szCs w:val="26"/>
        </w:rPr>
        <w:t>, 23</w:t>
      </w:r>
      <w:r w:rsidRPr="00210BD3">
        <w:rPr>
          <w:rFonts w:ascii="Times New Roman" w:hAnsi="Times New Roman" w:cs="Times New Roman"/>
          <w:sz w:val="26"/>
          <w:szCs w:val="26"/>
        </w:rPr>
        <w:t xml:space="preserve">(2), 87-98.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Adekola, G., &amp; Oyedele, A. (2022).Enhancing vocational education through simulat</w:t>
      </w:r>
      <w:r w:rsidR="00C8697E" w:rsidRPr="00210BD3">
        <w:rPr>
          <w:rFonts w:ascii="Times New Roman" w:hAnsi="Times New Roman" w:cs="Times New Roman"/>
          <w:sz w:val="26"/>
          <w:szCs w:val="26"/>
        </w:rPr>
        <w:t>ion-based learning in Nigeria.</w:t>
      </w:r>
      <w:r w:rsidRPr="00210BD3">
        <w:rPr>
          <w:rFonts w:ascii="Times New Roman" w:hAnsi="Times New Roman" w:cs="Times New Roman"/>
          <w:i/>
          <w:sz w:val="26"/>
          <w:szCs w:val="26"/>
        </w:rPr>
        <w:t>Journal of Vocati</w:t>
      </w:r>
      <w:r w:rsidR="00C8697E" w:rsidRPr="00210BD3">
        <w:rPr>
          <w:rFonts w:ascii="Times New Roman" w:hAnsi="Times New Roman" w:cs="Times New Roman"/>
          <w:i/>
          <w:sz w:val="26"/>
          <w:szCs w:val="26"/>
        </w:rPr>
        <w:t>onal Education and Training</w:t>
      </w:r>
      <w:r w:rsidR="00C8697E" w:rsidRPr="00210BD3">
        <w:rPr>
          <w:rFonts w:ascii="Times New Roman" w:hAnsi="Times New Roman" w:cs="Times New Roman"/>
          <w:sz w:val="26"/>
          <w:szCs w:val="26"/>
        </w:rPr>
        <w:t>, 14</w:t>
      </w:r>
      <w:r w:rsidRPr="00210BD3">
        <w:rPr>
          <w:rFonts w:ascii="Times New Roman" w:hAnsi="Times New Roman" w:cs="Times New Roman"/>
          <w:sz w:val="26"/>
          <w:szCs w:val="26"/>
        </w:rPr>
        <w:t xml:space="preserve">(2), 45-58.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Adewale, O., Fagbemi, A., &amp; Onifade, O. (2024).Fostering social responsibility through vo</w:t>
      </w:r>
      <w:r w:rsidR="00C8697E" w:rsidRPr="00210BD3">
        <w:rPr>
          <w:rFonts w:ascii="Times New Roman" w:hAnsi="Times New Roman" w:cs="Times New Roman"/>
          <w:sz w:val="26"/>
          <w:szCs w:val="26"/>
        </w:rPr>
        <w:t>cational education in Nigeria.</w:t>
      </w:r>
      <w:r w:rsidRPr="00210BD3">
        <w:rPr>
          <w:rFonts w:ascii="Times New Roman" w:hAnsi="Times New Roman" w:cs="Times New Roman"/>
          <w:i/>
          <w:sz w:val="26"/>
          <w:szCs w:val="26"/>
        </w:rPr>
        <w:t>Journal of V</w:t>
      </w:r>
      <w:r w:rsidR="00C8697E" w:rsidRPr="00210BD3">
        <w:rPr>
          <w:rFonts w:ascii="Times New Roman" w:hAnsi="Times New Roman" w:cs="Times New Roman"/>
          <w:i/>
          <w:sz w:val="26"/>
          <w:szCs w:val="26"/>
        </w:rPr>
        <w:t>ocational Education Studies</w:t>
      </w:r>
      <w:r w:rsidR="00C8697E" w:rsidRPr="00210BD3">
        <w:rPr>
          <w:rFonts w:ascii="Times New Roman" w:hAnsi="Times New Roman" w:cs="Times New Roman"/>
          <w:sz w:val="26"/>
          <w:szCs w:val="26"/>
        </w:rPr>
        <w:t>, 15</w:t>
      </w:r>
      <w:r w:rsidRPr="00210BD3">
        <w:rPr>
          <w:rFonts w:ascii="Times New Roman" w:hAnsi="Times New Roman" w:cs="Times New Roman"/>
          <w:sz w:val="26"/>
          <w:szCs w:val="26"/>
        </w:rPr>
        <w:t xml:space="preserve">(1), 11-24.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Adewuyi, T., &amp; Adebayo, S. (2023). The impact of manipulative skills on productivity in the man</w:t>
      </w:r>
      <w:r w:rsidR="00C8697E" w:rsidRPr="00210BD3">
        <w:rPr>
          <w:rFonts w:ascii="Times New Roman" w:hAnsi="Times New Roman" w:cs="Times New Roman"/>
          <w:sz w:val="26"/>
          <w:szCs w:val="26"/>
        </w:rPr>
        <w:t>ufacturing sector.</w:t>
      </w:r>
      <w:r w:rsidRPr="00210BD3">
        <w:rPr>
          <w:rFonts w:ascii="Times New Roman" w:hAnsi="Times New Roman" w:cs="Times New Roman"/>
          <w:i/>
          <w:sz w:val="26"/>
          <w:szCs w:val="26"/>
        </w:rPr>
        <w:t>International Journal of Industr</w:t>
      </w:r>
      <w:r w:rsidR="00C8697E" w:rsidRPr="00210BD3">
        <w:rPr>
          <w:rFonts w:ascii="Times New Roman" w:hAnsi="Times New Roman" w:cs="Times New Roman"/>
          <w:i/>
          <w:sz w:val="26"/>
          <w:szCs w:val="26"/>
        </w:rPr>
        <w:t>ial and Systems Engineering</w:t>
      </w:r>
      <w:r w:rsidR="00C8697E" w:rsidRPr="00210BD3">
        <w:rPr>
          <w:rFonts w:ascii="Times New Roman" w:hAnsi="Times New Roman" w:cs="Times New Roman"/>
          <w:sz w:val="26"/>
          <w:szCs w:val="26"/>
        </w:rPr>
        <w:t>, 18</w:t>
      </w:r>
      <w:r w:rsidRPr="00210BD3">
        <w:rPr>
          <w:rFonts w:ascii="Times New Roman" w:hAnsi="Times New Roman" w:cs="Times New Roman"/>
          <w:sz w:val="26"/>
          <w:szCs w:val="26"/>
        </w:rPr>
        <w:t xml:space="preserve">(3), 112-126.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Adeyemo, A. O., &amp; Okonkwo, E. C. (2021). Reflective practices and lifelong learning in vocational education: Implic</w:t>
      </w:r>
      <w:r w:rsidR="00C8697E" w:rsidRPr="00210BD3">
        <w:rPr>
          <w:rFonts w:ascii="Times New Roman" w:hAnsi="Times New Roman" w:cs="Times New Roman"/>
          <w:sz w:val="26"/>
          <w:szCs w:val="26"/>
        </w:rPr>
        <w:t xml:space="preserve">ations for career development. </w:t>
      </w:r>
      <w:r w:rsidRPr="00210BD3">
        <w:rPr>
          <w:rFonts w:ascii="Times New Roman" w:hAnsi="Times New Roman" w:cs="Times New Roman"/>
          <w:i/>
          <w:sz w:val="26"/>
          <w:szCs w:val="26"/>
        </w:rPr>
        <w:t>Journal of Vocational and T</w:t>
      </w:r>
      <w:r w:rsidR="00C8697E" w:rsidRPr="00210BD3">
        <w:rPr>
          <w:rFonts w:ascii="Times New Roman" w:hAnsi="Times New Roman" w:cs="Times New Roman"/>
          <w:i/>
          <w:sz w:val="26"/>
          <w:szCs w:val="26"/>
        </w:rPr>
        <w:t>echnical Education Research</w:t>
      </w:r>
      <w:r w:rsidR="00C8697E" w:rsidRPr="00210BD3">
        <w:rPr>
          <w:rFonts w:ascii="Times New Roman" w:hAnsi="Times New Roman" w:cs="Times New Roman"/>
          <w:sz w:val="26"/>
          <w:szCs w:val="26"/>
        </w:rPr>
        <w:t>, 10</w:t>
      </w:r>
      <w:r w:rsidRPr="00210BD3">
        <w:rPr>
          <w:rFonts w:ascii="Times New Roman" w:hAnsi="Times New Roman" w:cs="Times New Roman"/>
          <w:sz w:val="26"/>
          <w:szCs w:val="26"/>
        </w:rPr>
        <w:t xml:space="preserve">(3), 45-59.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Agboola, J. A. (2024). Integrating cognitive and technical s</w:t>
      </w:r>
      <w:r w:rsidR="00C8697E" w:rsidRPr="00210BD3">
        <w:rPr>
          <w:rFonts w:ascii="Times New Roman" w:hAnsi="Times New Roman" w:cs="Times New Roman"/>
          <w:sz w:val="26"/>
          <w:szCs w:val="26"/>
        </w:rPr>
        <w:t>kills for workforce readiness.</w:t>
      </w:r>
      <w:r w:rsidRPr="00210BD3">
        <w:rPr>
          <w:rFonts w:ascii="Times New Roman" w:hAnsi="Times New Roman" w:cs="Times New Roman"/>
          <w:i/>
          <w:sz w:val="26"/>
          <w:szCs w:val="26"/>
        </w:rPr>
        <w:t>International Jo</w:t>
      </w:r>
      <w:r w:rsidR="00C8697E" w:rsidRPr="00210BD3">
        <w:rPr>
          <w:rFonts w:ascii="Times New Roman" w:hAnsi="Times New Roman" w:cs="Times New Roman"/>
          <w:i/>
          <w:sz w:val="26"/>
          <w:szCs w:val="26"/>
        </w:rPr>
        <w:t>urnal of Vocational Studies</w:t>
      </w:r>
      <w:r w:rsidR="00C8697E" w:rsidRPr="00210BD3">
        <w:rPr>
          <w:rFonts w:ascii="Times New Roman" w:hAnsi="Times New Roman" w:cs="Times New Roman"/>
          <w:sz w:val="26"/>
          <w:szCs w:val="26"/>
        </w:rPr>
        <w:t>, 10</w:t>
      </w:r>
      <w:r w:rsidRPr="00210BD3">
        <w:rPr>
          <w:rFonts w:ascii="Times New Roman" w:hAnsi="Times New Roman" w:cs="Times New Roman"/>
          <w:sz w:val="26"/>
          <w:szCs w:val="26"/>
        </w:rPr>
        <w:t xml:space="preserve">(1), 29-43.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Akinola, J. A., &amp; Bello, M. O. (2023).Bridging the gap: The role of industry-based resource pe</w:t>
      </w:r>
      <w:r w:rsidR="00A54969" w:rsidRPr="00210BD3">
        <w:rPr>
          <w:rFonts w:ascii="Times New Roman" w:hAnsi="Times New Roman" w:cs="Times New Roman"/>
          <w:sz w:val="26"/>
          <w:szCs w:val="26"/>
        </w:rPr>
        <w:t>rsons in vocational education.</w:t>
      </w:r>
      <w:r w:rsidRPr="00210BD3">
        <w:rPr>
          <w:rFonts w:ascii="Times New Roman" w:hAnsi="Times New Roman" w:cs="Times New Roman"/>
          <w:i/>
          <w:sz w:val="26"/>
          <w:szCs w:val="26"/>
        </w:rPr>
        <w:t>International Journal of Vocational Education and Training</w:t>
      </w:r>
      <w:r w:rsidR="00D07305" w:rsidRPr="00210BD3">
        <w:rPr>
          <w:rFonts w:ascii="Times New Roman" w:hAnsi="Times New Roman" w:cs="Times New Roman"/>
          <w:sz w:val="26"/>
          <w:szCs w:val="26"/>
        </w:rPr>
        <w:t>, 12</w:t>
      </w:r>
      <w:r w:rsidRPr="00210BD3">
        <w:rPr>
          <w:rFonts w:ascii="Times New Roman" w:hAnsi="Times New Roman" w:cs="Times New Roman"/>
          <w:sz w:val="26"/>
          <w:szCs w:val="26"/>
        </w:rPr>
        <w:t>(1), 34-45</w:t>
      </w:r>
      <w:r w:rsidR="004D44B5" w:rsidRPr="00210BD3">
        <w:rPr>
          <w:rFonts w:ascii="Times New Roman" w:hAnsi="Times New Roman" w:cs="Times New Roman"/>
          <w:sz w:val="26"/>
          <w:szCs w:val="26"/>
        </w:rPr>
        <w:t>.</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Ayonmike, C. S., Okwelle, P. C., &amp; Okeke, B. C. (2015). Towards quality technical vocational education and training (TVET) programmes in Nigeria: Challeng</w:t>
      </w:r>
      <w:r w:rsidR="00D07305" w:rsidRPr="00210BD3">
        <w:rPr>
          <w:rFonts w:ascii="Times New Roman" w:hAnsi="Times New Roman" w:cs="Times New Roman"/>
          <w:sz w:val="26"/>
          <w:szCs w:val="26"/>
        </w:rPr>
        <w:t xml:space="preserve">es and improvement strategies. </w:t>
      </w:r>
      <w:r w:rsidRPr="00210BD3">
        <w:rPr>
          <w:rFonts w:ascii="Times New Roman" w:hAnsi="Times New Roman" w:cs="Times New Roman"/>
          <w:i/>
          <w:sz w:val="26"/>
          <w:szCs w:val="26"/>
        </w:rPr>
        <w:t xml:space="preserve">Journal of Education and </w:t>
      </w:r>
      <w:r w:rsidR="00D07305" w:rsidRPr="00210BD3">
        <w:rPr>
          <w:rFonts w:ascii="Times New Roman" w:hAnsi="Times New Roman" w:cs="Times New Roman"/>
          <w:i/>
          <w:sz w:val="26"/>
          <w:szCs w:val="26"/>
        </w:rPr>
        <w:t>Learning</w:t>
      </w:r>
      <w:r w:rsidR="004373C3" w:rsidRPr="00210BD3">
        <w:rPr>
          <w:rFonts w:ascii="Times New Roman" w:hAnsi="Times New Roman" w:cs="Times New Roman"/>
          <w:sz w:val="26"/>
          <w:szCs w:val="26"/>
        </w:rPr>
        <w:t xml:space="preserve">, </w:t>
      </w:r>
      <w:r w:rsidRPr="00210BD3">
        <w:rPr>
          <w:rFonts w:ascii="Times New Roman" w:hAnsi="Times New Roman" w:cs="Times New Roman"/>
          <w:sz w:val="26"/>
          <w:szCs w:val="26"/>
        </w:rPr>
        <w:t xml:space="preserve">4(1), </w:t>
      </w:r>
      <w:r w:rsidRPr="00210BD3">
        <w:rPr>
          <w:rFonts w:ascii="Times New Roman" w:hAnsi="Times New Roman" w:cs="Times New Roman"/>
          <w:sz w:val="26"/>
          <w:szCs w:val="26"/>
        </w:rPr>
        <w:tab/>
        <w:t xml:space="preserve">25-34.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[https://doi.org/10.5539/jel.v4n1p25](https://doi.org/10.5539/jel.v4 n1p25)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Babalola, J. B. (2011). Eyeing sustainable development: Entrepreneurship climate must</w:t>
      </w:r>
      <w:r w:rsidR="00D07305" w:rsidRPr="00210BD3">
        <w:rPr>
          <w:rFonts w:ascii="Times New Roman" w:hAnsi="Times New Roman" w:cs="Times New Roman"/>
          <w:sz w:val="26"/>
          <w:szCs w:val="26"/>
        </w:rPr>
        <w:t xml:space="preserve"> change in Nigerian education. </w:t>
      </w:r>
      <w:r w:rsidRPr="00210BD3">
        <w:rPr>
          <w:rFonts w:ascii="Times New Roman" w:hAnsi="Times New Roman" w:cs="Times New Roman"/>
          <w:sz w:val="26"/>
          <w:szCs w:val="26"/>
          <w:u w:val="single"/>
        </w:rPr>
        <w:t>In</w:t>
      </w:r>
      <w:r w:rsidRPr="00210BD3">
        <w:rPr>
          <w:rFonts w:ascii="Times New Roman" w:hAnsi="Times New Roman" w:cs="Times New Roman"/>
          <w:sz w:val="26"/>
          <w:szCs w:val="26"/>
        </w:rPr>
        <w:t xml:space="preserve"> F. Omotosho, T. K. O. Aluko, O. I.</w:t>
      </w:r>
      <w:r w:rsidR="00D07305" w:rsidRPr="00210BD3">
        <w:rPr>
          <w:rFonts w:ascii="Times New Roman" w:hAnsi="Times New Roman" w:cs="Times New Roman"/>
          <w:sz w:val="26"/>
          <w:szCs w:val="26"/>
        </w:rPr>
        <w:t xml:space="preserve"> Wale-Awe &amp; G. Adaramola (Eds.).</w:t>
      </w:r>
      <w:r w:rsidRPr="00210BD3">
        <w:rPr>
          <w:rFonts w:ascii="Times New Roman" w:hAnsi="Times New Roman" w:cs="Times New Roman"/>
          <w:i/>
          <w:sz w:val="26"/>
          <w:szCs w:val="26"/>
        </w:rPr>
        <w:t>Proceedings</w:t>
      </w:r>
      <w:r w:rsidRPr="00210BD3">
        <w:rPr>
          <w:rFonts w:ascii="Times New Roman" w:hAnsi="Times New Roman" w:cs="Times New Roman"/>
          <w:sz w:val="26"/>
          <w:szCs w:val="26"/>
        </w:rPr>
        <w:t xml:space="preserve"> of the 1st National Conference on Economic Reforms and the Nigerian Educational System (pp. 2</w:t>
      </w:r>
      <w:r w:rsidR="00D07305" w:rsidRPr="00210BD3">
        <w:rPr>
          <w:rFonts w:ascii="Times New Roman" w:hAnsi="Times New Roman" w:cs="Times New Roman"/>
          <w:sz w:val="26"/>
          <w:szCs w:val="26"/>
        </w:rPr>
        <w:t>5-40).</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Chukwuma, I., &amp; Eze, J. U. (2024).Financial investment and its impact on vocational</w:t>
      </w:r>
      <w:r w:rsidR="00D07305" w:rsidRPr="00210BD3">
        <w:rPr>
          <w:rFonts w:ascii="Times New Roman" w:hAnsi="Times New Roman" w:cs="Times New Roman"/>
          <w:sz w:val="26"/>
          <w:szCs w:val="26"/>
        </w:rPr>
        <w:t xml:space="preserve"> education quality in Nigeria.</w:t>
      </w:r>
      <w:r w:rsidRPr="00210BD3">
        <w:rPr>
          <w:rFonts w:ascii="Times New Roman" w:hAnsi="Times New Roman" w:cs="Times New Roman"/>
          <w:i/>
          <w:sz w:val="26"/>
          <w:szCs w:val="26"/>
        </w:rPr>
        <w:t>J</w:t>
      </w:r>
      <w:r w:rsidR="00D07305" w:rsidRPr="00210BD3">
        <w:rPr>
          <w:rFonts w:ascii="Times New Roman" w:hAnsi="Times New Roman" w:cs="Times New Roman"/>
          <w:i/>
          <w:sz w:val="26"/>
          <w:szCs w:val="26"/>
        </w:rPr>
        <w:t>ournal of Vocational Studies</w:t>
      </w:r>
      <w:r w:rsidR="00D07305" w:rsidRPr="00210BD3">
        <w:rPr>
          <w:rFonts w:ascii="Times New Roman" w:hAnsi="Times New Roman" w:cs="Times New Roman"/>
          <w:sz w:val="26"/>
          <w:szCs w:val="26"/>
        </w:rPr>
        <w:t>, 8</w:t>
      </w:r>
      <w:r w:rsidRPr="00210BD3">
        <w:rPr>
          <w:rFonts w:ascii="Times New Roman" w:hAnsi="Times New Roman" w:cs="Times New Roman"/>
          <w:sz w:val="26"/>
          <w:szCs w:val="26"/>
        </w:rPr>
        <w:t>(2), 59-7</w:t>
      </w:r>
      <w:r w:rsidR="00B44055" w:rsidRPr="00210BD3">
        <w:rPr>
          <w:rFonts w:ascii="Times New Roman" w:hAnsi="Times New Roman" w:cs="Times New Roman"/>
          <w:sz w:val="26"/>
          <w:szCs w:val="26"/>
        </w:rPr>
        <w:t xml:space="preserve">2.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E. Egbule, P. (2018). </w:t>
      </w:r>
      <w:r w:rsidRPr="00210BD3">
        <w:rPr>
          <w:rFonts w:ascii="Times New Roman" w:hAnsi="Times New Roman" w:cs="Times New Roman"/>
          <w:i/>
          <w:sz w:val="26"/>
          <w:szCs w:val="26"/>
        </w:rPr>
        <w:t>Entrepreneurship: Fundamentals and practice</w:t>
      </w:r>
      <w:r w:rsidRPr="00210BD3">
        <w:rPr>
          <w:rFonts w:ascii="Times New Roman" w:hAnsi="Times New Roman" w:cs="Times New Roman"/>
          <w:sz w:val="26"/>
          <w:szCs w:val="26"/>
        </w:rPr>
        <w:t xml:space="preserve">. </w:t>
      </w:r>
      <w:r w:rsidR="00D07305" w:rsidRPr="00210BD3">
        <w:rPr>
          <w:rFonts w:ascii="Times New Roman" w:hAnsi="Times New Roman" w:cs="Times New Roman"/>
          <w:sz w:val="26"/>
          <w:szCs w:val="26"/>
        </w:rPr>
        <w:t xml:space="preserve">Enugu: </w:t>
      </w:r>
      <w:r w:rsidRPr="00210BD3">
        <w:rPr>
          <w:rFonts w:ascii="Times New Roman" w:hAnsi="Times New Roman" w:cs="Times New Roman"/>
          <w:sz w:val="26"/>
          <w:szCs w:val="26"/>
        </w:rPr>
        <w:t xml:space="preserve">Totan Publishers  Ltd.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Eze, J. U., &amp; Chukwuma, M. (2024). Preparing Nigerian graduates for career readiness: The role of c</w:t>
      </w:r>
      <w:r w:rsidR="00ED002C" w:rsidRPr="00210BD3">
        <w:rPr>
          <w:rFonts w:ascii="Times New Roman" w:hAnsi="Times New Roman" w:cs="Times New Roman"/>
          <w:sz w:val="26"/>
          <w:szCs w:val="26"/>
        </w:rPr>
        <w:t xml:space="preserve">ognitive and technical skills. </w:t>
      </w:r>
      <w:r w:rsidRPr="00210BD3">
        <w:rPr>
          <w:rFonts w:ascii="Times New Roman" w:hAnsi="Times New Roman" w:cs="Times New Roman"/>
          <w:i/>
          <w:sz w:val="26"/>
          <w:szCs w:val="26"/>
        </w:rPr>
        <w:t>West African Jour</w:t>
      </w:r>
      <w:r w:rsidR="00ED002C" w:rsidRPr="00210BD3">
        <w:rPr>
          <w:rFonts w:ascii="Times New Roman" w:hAnsi="Times New Roman" w:cs="Times New Roman"/>
          <w:i/>
          <w:sz w:val="26"/>
          <w:szCs w:val="26"/>
        </w:rPr>
        <w:t>nal of Vocational Education</w:t>
      </w:r>
      <w:r w:rsidR="00ED002C" w:rsidRPr="00210BD3">
        <w:rPr>
          <w:rFonts w:ascii="Times New Roman" w:hAnsi="Times New Roman" w:cs="Times New Roman"/>
          <w:sz w:val="26"/>
          <w:szCs w:val="26"/>
        </w:rPr>
        <w:t>, 10</w:t>
      </w:r>
      <w:r w:rsidRPr="00210BD3">
        <w:rPr>
          <w:rFonts w:ascii="Times New Roman" w:hAnsi="Times New Roman" w:cs="Times New Roman"/>
          <w:sz w:val="26"/>
          <w:szCs w:val="26"/>
        </w:rPr>
        <w:t xml:space="preserve">(2), 65-78.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Eze, J. U., &amp; Nnadi, P. (2024).The role of vocational education in driving ec</w:t>
      </w:r>
      <w:r w:rsidR="00ED002C" w:rsidRPr="00210BD3">
        <w:rPr>
          <w:rFonts w:ascii="Times New Roman" w:hAnsi="Times New Roman" w:cs="Times New Roman"/>
          <w:sz w:val="26"/>
          <w:szCs w:val="26"/>
        </w:rPr>
        <w:t>onomic development in Nigeria.</w:t>
      </w:r>
      <w:r w:rsidRPr="00210BD3">
        <w:rPr>
          <w:rFonts w:ascii="Times New Roman" w:hAnsi="Times New Roman" w:cs="Times New Roman"/>
          <w:i/>
          <w:sz w:val="26"/>
          <w:szCs w:val="26"/>
        </w:rPr>
        <w:t>West African Jour</w:t>
      </w:r>
      <w:r w:rsidR="00ED002C" w:rsidRPr="00210BD3">
        <w:rPr>
          <w:rFonts w:ascii="Times New Roman" w:hAnsi="Times New Roman" w:cs="Times New Roman"/>
          <w:i/>
          <w:sz w:val="26"/>
          <w:szCs w:val="26"/>
        </w:rPr>
        <w:t>nal of Vocational Education</w:t>
      </w:r>
      <w:r w:rsidR="00ED002C" w:rsidRPr="00210BD3">
        <w:rPr>
          <w:rFonts w:ascii="Times New Roman" w:hAnsi="Times New Roman" w:cs="Times New Roman"/>
          <w:sz w:val="26"/>
          <w:szCs w:val="26"/>
        </w:rPr>
        <w:t>, 11</w:t>
      </w:r>
      <w:r w:rsidRPr="00210BD3">
        <w:rPr>
          <w:rFonts w:ascii="Times New Roman" w:hAnsi="Times New Roman" w:cs="Times New Roman"/>
          <w:sz w:val="26"/>
          <w:szCs w:val="26"/>
        </w:rPr>
        <w:t xml:space="preserve">(3), 78-91. </w:t>
      </w:r>
    </w:p>
    <w:p w:rsidR="00900F60"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lastRenderedPageBreak/>
        <w:t>Eze, J. U., &amp; Okafor, C. M. (2024). Pathways for continuous professional development in vocational educ</w:t>
      </w:r>
      <w:r w:rsidR="00ED002C" w:rsidRPr="00210BD3">
        <w:rPr>
          <w:rFonts w:ascii="Times New Roman" w:hAnsi="Times New Roman" w:cs="Times New Roman"/>
          <w:sz w:val="26"/>
          <w:szCs w:val="26"/>
        </w:rPr>
        <w:t xml:space="preserve">ation: A Nigerian perspective. </w:t>
      </w:r>
      <w:r w:rsidRPr="00210BD3">
        <w:rPr>
          <w:rFonts w:ascii="Times New Roman" w:hAnsi="Times New Roman" w:cs="Times New Roman"/>
          <w:i/>
          <w:sz w:val="26"/>
          <w:szCs w:val="26"/>
        </w:rPr>
        <w:t>International Journal of Education and Professional Development</w:t>
      </w:r>
      <w:r w:rsidR="00ED002C" w:rsidRPr="00210BD3">
        <w:rPr>
          <w:rFonts w:ascii="Times New Roman" w:hAnsi="Times New Roman" w:cs="Times New Roman"/>
          <w:sz w:val="26"/>
          <w:szCs w:val="26"/>
        </w:rPr>
        <w:t>, 15</w:t>
      </w:r>
      <w:r w:rsidRPr="00210BD3">
        <w:rPr>
          <w:rFonts w:ascii="Times New Roman" w:hAnsi="Times New Roman" w:cs="Times New Roman"/>
          <w:sz w:val="26"/>
          <w:szCs w:val="26"/>
        </w:rPr>
        <w:t xml:space="preserve">(2), 102-116. </w:t>
      </w:r>
    </w:p>
    <w:p w:rsidR="00422994" w:rsidRPr="00210BD3"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Eze, S. C. (2012). Emerging issues in business education: A panacea for effective utilization o</w:t>
      </w:r>
      <w:r w:rsidR="006B0EFE" w:rsidRPr="00210BD3">
        <w:rPr>
          <w:rFonts w:ascii="Times New Roman" w:hAnsi="Times New Roman" w:cs="Times New Roman"/>
          <w:sz w:val="26"/>
          <w:szCs w:val="26"/>
        </w:rPr>
        <w:t xml:space="preserve">f new technologies in Nigeria. </w:t>
      </w:r>
      <w:r w:rsidRPr="00210BD3">
        <w:rPr>
          <w:rFonts w:ascii="Times New Roman" w:hAnsi="Times New Roman" w:cs="Times New Roman"/>
          <w:i/>
          <w:sz w:val="26"/>
          <w:szCs w:val="26"/>
        </w:rPr>
        <w:t>Business Education Jo</w:t>
      </w:r>
      <w:r w:rsidR="006B0EFE" w:rsidRPr="00210BD3">
        <w:rPr>
          <w:rFonts w:ascii="Times New Roman" w:hAnsi="Times New Roman" w:cs="Times New Roman"/>
          <w:i/>
          <w:sz w:val="26"/>
          <w:szCs w:val="26"/>
        </w:rPr>
        <w:t>urnal</w:t>
      </w:r>
      <w:r w:rsidRPr="00210BD3">
        <w:rPr>
          <w:rFonts w:ascii="Times New Roman" w:hAnsi="Times New Roman" w:cs="Times New Roman"/>
          <w:sz w:val="26"/>
          <w:szCs w:val="26"/>
        </w:rPr>
        <w:t xml:space="preserve">, 8(2), 12-18.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Nwankwo, C., Okeke, M., &amp; Amadi, U. (2024).Apprenticeship and internship as pathways to skills acquis</w:t>
      </w:r>
      <w:r w:rsidR="006B0EFE" w:rsidRPr="003139A4">
        <w:rPr>
          <w:rFonts w:ascii="Times New Roman" w:hAnsi="Times New Roman" w:cs="Times New Roman"/>
          <w:color w:val="000000" w:themeColor="text1"/>
          <w:sz w:val="26"/>
          <w:szCs w:val="26"/>
        </w:rPr>
        <w:t>ition in vocational education.</w:t>
      </w:r>
      <w:r w:rsidRPr="003139A4">
        <w:rPr>
          <w:rFonts w:ascii="Times New Roman" w:hAnsi="Times New Roman" w:cs="Times New Roman"/>
          <w:i/>
          <w:color w:val="000000" w:themeColor="text1"/>
          <w:sz w:val="26"/>
          <w:szCs w:val="26"/>
        </w:rPr>
        <w:t>Journal of Ni</w:t>
      </w:r>
      <w:r w:rsidR="006B0EFE" w:rsidRPr="003139A4">
        <w:rPr>
          <w:rFonts w:ascii="Times New Roman" w:hAnsi="Times New Roman" w:cs="Times New Roman"/>
          <w:i/>
          <w:color w:val="000000" w:themeColor="text1"/>
          <w:sz w:val="26"/>
          <w:szCs w:val="26"/>
        </w:rPr>
        <w:t>gerian Educational Research</w:t>
      </w:r>
      <w:r w:rsidR="006B0EFE" w:rsidRPr="003139A4">
        <w:rPr>
          <w:rFonts w:ascii="Times New Roman" w:hAnsi="Times New Roman" w:cs="Times New Roman"/>
          <w:color w:val="000000" w:themeColor="text1"/>
          <w:sz w:val="26"/>
          <w:szCs w:val="26"/>
        </w:rPr>
        <w:t>, 25</w:t>
      </w:r>
      <w:r w:rsidRPr="003139A4">
        <w:rPr>
          <w:rFonts w:ascii="Times New Roman" w:hAnsi="Times New Roman" w:cs="Times New Roman"/>
          <w:color w:val="000000" w:themeColor="text1"/>
          <w:sz w:val="26"/>
          <w:szCs w:val="26"/>
        </w:rPr>
        <w:t xml:space="preserve">(1), 93-106.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Nwaogwugwu, M., &amp; Igbokwe, N. (2022). Self-directed learning and lifelong </w:t>
      </w:r>
    </w:p>
    <w:p w:rsidR="00CF3063"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education: Strat</w:t>
      </w:r>
      <w:r w:rsidR="006B0EFE" w:rsidRPr="003139A4">
        <w:rPr>
          <w:rFonts w:ascii="Times New Roman" w:hAnsi="Times New Roman" w:cs="Times New Roman"/>
          <w:color w:val="000000" w:themeColor="text1"/>
          <w:sz w:val="26"/>
          <w:szCs w:val="26"/>
        </w:rPr>
        <w:t xml:space="preserve">egies for vocational training. </w:t>
      </w:r>
      <w:r w:rsidRPr="003139A4">
        <w:rPr>
          <w:rFonts w:ascii="Times New Roman" w:hAnsi="Times New Roman" w:cs="Times New Roman"/>
          <w:i/>
          <w:color w:val="000000" w:themeColor="text1"/>
          <w:sz w:val="26"/>
          <w:szCs w:val="26"/>
        </w:rPr>
        <w:t>African Jour</w:t>
      </w:r>
      <w:r w:rsidR="006B0EFE" w:rsidRPr="003139A4">
        <w:rPr>
          <w:rFonts w:ascii="Times New Roman" w:hAnsi="Times New Roman" w:cs="Times New Roman"/>
          <w:i/>
          <w:color w:val="000000" w:themeColor="text1"/>
          <w:sz w:val="26"/>
          <w:szCs w:val="26"/>
        </w:rPr>
        <w:t>nal of Vocational Education</w:t>
      </w:r>
      <w:r w:rsidR="006B0EFE" w:rsidRPr="003139A4">
        <w:rPr>
          <w:rFonts w:ascii="Times New Roman" w:hAnsi="Times New Roman" w:cs="Times New Roman"/>
          <w:color w:val="000000" w:themeColor="text1"/>
          <w:sz w:val="26"/>
          <w:szCs w:val="26"/>
        </w:rPr>
        <w:t>, 14</w:t>
      </w:r>
      <w:r w:rsidRPr="003139A4">
        <w:rPr>
          <w:rFonts w:ascii="Times New Roman" w:hAnsi="Times New Roman" w:cs="Times New Roman"/>
          <w:color w:val="000000" w:themeColor="text1"/>
          <w:sz w:val="26"/>
          <w:szCs w:val="26"/>
        </w:rPr>
        <w:t>(1), 78-91</w:t>
      </w:r>
      <w:r w:rsidR="006B0EFE" w:rsidRPr="003139A4">
        <w:rPr>
          <w:rFonts w:ascii="Times New Roman" w:hAnsi="Times New Roman" w:cs="Times New Roman"/>
          <w:color w:val="000000" w:themeColor="text1"/>
          <w:sz w:val="26"/>
          <w:szCs w:val="26"/>
        </w:rPr>
        <w:t xml:space="preserve">. </w:t>
      </w:r>
    </w:p>
    <w:p w:rsidR="0032438F"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Nwogu, U. J., &amp; Nwanoruo, C. C. (2011). Vocational technical education and training for self-</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reliance:</w:t>
      </w:r>
      <w:r w:rsidR="004661C9" w:rsidRPr="003139A4">
        <w:rPr>
          <w:rFonts w:ascii="Times New Roman" w:hAnsi="Times New Roman" w:cs="Times New Roman"/>
          <w:color w:val="000000" w:themeColor="text1"/>
          <w:sz w:val="26"/>
          <w:szCs w:val="26"/>
        </w:rPr>
        <w:t xml:space="preserve"> Towards national development. </w:t>
      </w:r>
      <w:r w:rsidRPr="003139A4">
        <w:rPr>
          <w:rFonts w:ascii="Times New Roman" w:hAnsi="Times New Roman" w:cs="Times New Roman"/>
          <w:i/>
          <w:color w:val="000000" w:themeColor="text1"/>
          <w:sz w:val="26"/>
          <w:szCs w:val="26"/>
        </w:rPr>
        <w:t xml:space="preserve">Mediterranean </w:t>
      </w:r>
      <w:r w:rsidR="00CF3063" w:rsidRPr="003139A4">
        <w:rPr>
          <w:rFonts w:ascii="Times New Roman" w:hAnsi="Times New Roman" w:cs="Times New Roman"/>
          <w:i/>
          <w:color w:val="000000" w:themeColor="text1"/>
          <w:sz w:val="26"/>
          <w:szCs w:val="26"/>
        </w:rPr>
        <w:t xml:space="preserve">Journal of Social </w:t>
      </w:r>
      <w:r w:rsidR="004661C9" w:rsidRPr="003139A4">
        <w:rPr>
          <w:rFonts w:ascii="Times New Roman" w:hAnsi="Times New Roman" w:cs="Times New Roman"/>
          <w:i/>
          <w:color w:val="000000" w:themeColor="text1"/>
          <w:sz w:val="26"/>
          <w:szCs w:val="26"/>
        </w:rPr>
        <w:t>Sciences</w:t>
      </w:r>
      <w:r w:rsidR="0032438F" w:rsidRPr="003139A4">
        <w:rPr>
          <w:rFonts w:ascii="Times New Roman" w:hAnsi="Times New Roman" w:cs="Times New Roman"/>
          <w:color w:val="000000" w:themeColor="text1"/>
          <w:sz w:val="26"/>
          <w:szCs w:val="26"/>
        </w:rPr>
        <w:t xml:space="preserve">, 2(5), </w:t>
      </w:r>
      <w:r w:rsidRPr="003139A4">
        <w:rPr>
          <w:rFonts w:ascii="Times New Roman" w:hAnsi="Times New Roman" w:cs="Times New Roman"/>
          <w:color w:val="000000" w:themeColor="text1"/>
          <w:sz w:val="26"/>
          <w:szCs w:val="26"/>
        </w:rPr>
        <w:t>5559.[https://doi.org/10.5901/mjss.2011.v2n5p55](</w:t>
      </w:r>
      <w:hyperlink r:id="rId54" w:history="1">
        <w:r w:rsidRPr="003139A4">
          <w:rPr>
            <w:rStyle w:val="Hyperlink"/>
            <w:rFonts w:ascii="Times New Roman" w:hAnsi="Times New Roman" w:cs="Times New Roman"/>
            <w:color w:val="000000" w:themeColor="text1"/>
            <w:sz w:val="26"/>
            <w:szCs w:val="26"/>
            <w:u w:val="none"/>
          </w:rPr>
          <w:t xml:space="preserve">https://doi.org/10. </w:t>
        </w:r>
      </w:hyperlink>
      <w:hyperlink r:id="rId55" w:history="1">
        <w:r w:rsidRPr="003139A4">
          <w:rPr>
            <w:rStyle w:val="Hyperlink"/>
            <w:rFonts w:ascii="Times New Roman" w:hAnsi="Times New Roman" w:cs="Times New Roman"/>
            <w:color w:val="000000" w:themeColor="text1"/>
            <w:sz w:val="26"/>
            <w:szCs w:val="26"/>
            <w:u w:val="none"/>
          </w:rPr>
          <w:t>5901/mjss.2011.v2n5p55</w:t>
        </w:r>
      </w:hyperlink>
      <w:hyperlink r:id="rId56" w:history="1">
        <w:r w:rsidRPr="003139A4">
          <w:rPr>
            <w:rStyle w:val="Hyperlink"/>
            <w:rFonts w:ascii="Times New Roman" w:hAnsi="Times New Roman" w:cs="Times New Roman"/>
            <w:color w:val="000000" w:themeColor="text1"/>
            <w:sz w:val="26"/>
            <w:szCs w:val="26"/>
            <w:u w:val="none"/>
          </w:rPr>
          <w:t>)</w:t>
        </w:r>
      </w:hyperlink>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Nwosu, A., &amp; Okonkwo, C. (2024).Workforce development through vo</w:t>
      </w:r>
      <w:r w:rsidR="00AF19AD" w:rsidRPr="003139A4">
        <w:rPr>
          <w:rFonts w:ascii="Times New Roman" w:hAnsi="Times New Roman" w:cs="Times New Roman"/>
          <w:color w:val="000000" w:themeColor="text1"/>
          <w:sz w:val="26"/>
          <w:szCs w:val="26"/>
        </w:rPr>
        <w:t>cational education in Nigeria.</w:t>
      </w:r>
      <w:r w:rsidRPr="003139A4">
        <w:rPr>
          <w:rFonts w:ascii="Times New Roman" w:hAnsi="Times New Roman" w:cs="Times New Roman"/>
          <w:i/>
          <w:color w:val="000000" w:themeColor="text1"/>
          <w:sz w:val="26"/>
          <w:szCs w:val="26"/>
        </w:rPr>
        <w:t>Journal of Econom</w:t>
      </w:r>
      <w:r w:rsidR="00AF19AD" w:rsidRPr="003139A4">
        <w:rPr>
          <w:rFonts w:ascii="Times New Roman" w:hAnsi="Times New Roman" w:cs="Times New Roman"/>
          <w:i/>
          <w:color w:val="000000" w:themeColor="text1"/>
          <w:sz w:val="26"/>
          <w:szCs w:val="26"/>
        </w:rPr>
        <w:t>ic Development and Education</w:t>
      </w:r>
      <w:r w:rsidR="00AF19AD" w:rsidRPr="003139A4">
        <w:rPr>
          <w:rFonts w:ascii="Times New Roman" w:hAnsi="Times New Roman" w:cs="Times New Roman"/>
          <w:color w:val="000000" w:themeColor="text1"/>
          <w:sz w:val="26"/>
          <w:szCs w:val="26"/>
        </w:rPr>
        <w:t>, 8</w:t>
      </w:r>
      <w:r w:rsidRPr="003139A4">
        <w:rPr>
          <w:rFonts w:ascii="Times New Roman" w:hAnsi="Times New Roman" w:cs="Times New Roman"/>
          <w:color w:val="000000" w:themeColor="text1"/>
          <w:sz w:val="26"/>
          <w:szCs w:val="26"/>
        </w:rPr>
        <w:t xml:space="preserve">(1), 101-114.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Obi, C. C., &amp; Chimezie, O. I. (2012). Vocational education and the challenges of modern technology: A case for curriculum restructur</w:t>
      </w:r>
      <w:r w:rsidR="00AF19AD" w:rsidRPr="003139A4">
        <w:rPr>
          <w:rFonts w:ascii="Times New Roman" w:hAnsi="Times New Roman" w:cs="Times New Roman"/>
          <w:color w:val="000000" w:themeColor="text1"/>
          <w:sz w:val="26"/>
          <w:szCs w:val="26"/>
        </w:rPr>
        <w:t xml:space="preserve">ing. </w:t>
      </w:r>
      <w:r w:rsidR="00AD6561" w:rsidRPr="003139A4">
        <w:rPr>
          <w:rFonts w:ascii="Times New Roman" w:hAnsi="Times New Roman" w:cs="Times New Roman"/>
          <w:i/>
          <w:color w:val="000000" w:themeColor="text1"/>
          <w:sz w:val="26"/>
          <w:szCs w:val="26"/>
        </w:rPr>
        <w:t>Journ</w:t>
      </w:r>
      <w:r w:rsidR="00AF19AD" w:rsidRPr="003139A4">
        <w:rPr>
          <w:rFonts w:ascii="Times New Roman" w:hAnsi="Times New Roman" w:cs="Times New Roman"/>
          <w:i/>
          <w:color w:val="000000" w:themeColor="text1"/>
          <w:sz w:val="26"/>
          <w:szCs w:val="26"/>
        </w:rPr>
        <w:t>al of Education and Practice</w:t>
      </w:r>
      <w:r w:rsidR="002A5AD8" w:rsidRPr="003139A4">
        <w:rPr>
          <w:rFonts w:ascii="Times New Roman" w:hAnsi="Times New Roman" w:cs="Times New Roman"/>
          <w:color w:val="000000" w:themeColor="text1"/>
          <w:sz w:val="26"/>
          <w:szCs w:val="26"/>
        </w:rPr>
        <w:t xml:space="preserve">, </w:t>
      </w:r>
      <w:r w:rsidR="00AD6561" w:rsidRPr="003139A4">
        <w:rPr>
          <w:rFonts w:ascii="Times New Roman" w:hAnsi="Times New Roman" w:cs="Times New Roman"/>
          <w:color w:val="000000" w:themeColor="text1"/>
          <w:sz w:val="26"/>
          <w:szCs w:val="26"/>
        </w:rPr>
        <w:t xml:space="preserve">3(9),45 </w:t>
      </w:r>
      <w:r w:rsidR="002A5AD8" w:rsidRPr="003139A4">
        <w:rPr>
          <w:rFonts w:ascii="Times New Roman" w:hAnsi="Times New Roman" w:cs="Times New Roman"/>
          <w:color w:val="000000" w:themeColor="text1"/>
          <w:sz w:val="26"/>
          <w:szCs w:val="26"/>
        </w:rPr>
        <w:t xml:space="preserve">- </w:t>
      </w:r>
      <w:r w:rsidRPr="003139A4">
        <w:rPr>
          <w:rFonts w:ascii="Times New Roman" w:hAnsi="Times New Roman" w:cs="Times New Roman"/>
          <w:color w:val="000000" w:themeColor="text1"/>
          <w:sz w:val="26"/>
          <w:szCs w:val="26"/>
        </w:rPr>
        <w:t xml:space="preserve">50. [https://www.iiste.org/Journals/index.php/JEP/article/view/2578](h ttps://www.iiste.org/Journals/index.php/JEP/article/view/2578)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Obi, T., &amp; Chinedu, O. (2023). Manipulative skills and career advance</w:t>
      </w:r>
      <w:r w:rsidR="00AF19AD" w:rsidRPr="003139A4">
        <w:rPr>
          <w:rFonts w:ascii="Times New Roman" w:hAnsi="Times New Roman" w:cs="Times New Roman"/>
          <w:color w:val="000000" w:themeColor="text1"/>
          <w:sz w:val="26"/>
          <w:szCs w:val="26"/>
        </w:rPr>
        <w:t xml:space="preserve">ment in Nigeria: A case study. </w:t>
      </w:r>
      <w:r w:rsidRPr="003139A4">
        <w:rPr>
          <w:rFonts w:ascii="Times New Roman" w:hAnsi="Times New Roman" w:cs="Times New Roman"/>
          <w:i/>
          <w:color w:val="000000" w:themeColor="text1"/>
          <w:sz w:val="26"/>
          <w:szCs w:val="26"/>
        </w:rPr>
        <w:t>Journal of Career Development Studies</w:t>
      </w:r>
      <w:r w:rsidR="00AF19AD" w:rsidRPr="003139A4">
        <w:rPr>
          <w:rFonts w:ascii="Times New Roman" w:hAnsi="Times New Roman" w:cs="Times New Roman"/>
          <w:color w:val="000000" w:themeColor="text1"/>
          <w:sz w:val="26"/>
          <w:szCs w:val="26"/>
        </w:rPr>
        <w:t>, 9</w:t>
      </w:r>
      <w:r w:rsidRPr="003139A4">
        <w:rPr>
          <w:rFonts w:ascii="Times New Roman" w:hAnsi="Times New Roman" w:cs="Times New Roman"/>
          <w:color w:val="000000" w:themeColor="text1"/>
          <w:sz w:val="26"/>
          <w:szCs w:val="26"/>
        </w:rPr>
        <w:t xml:space="preserve">(4), 67-81.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Obi, T., &amp; Onyeike, U. (2023). The pragmatic approach to vocational education in</w:t>
      </w:r>
      <w:r w:rsidR="00AF19AD" w:rsidRPr="003139A4">
        <w:rPr>
          <w:rFonts w:ascii="Times New Roman" w:hAnsi="Times New Roman" w:cs="Times New Roman"/>
          <w:color w:val="000000" w:themeColor="text1"/>
          <w:sz w:val="26"/>
          <w:szCs w:val="26"/>
        </w:rPr>
        <w:t xml:space="preserve"> Nigeria: A critical analysis. </w:t>
      </w:r>
      <w:r w:rsidRPr="003139A4">
        <w:rPr>
          <w:rFonts w:ascii="Times New Roman" w:hAnsi="Times New Roman" w:cs="Times New Roman"/>
          <w:i/>
          <w:color w:val="000000" w:themeColor="text1"/>
          <w:sz w:val="26"/>
          <w:szCs w:val="26"/>
        </w:rPr>
        <w:t>Journal of Practical Education</w:t>
      </w:r>
      <w:r w:rsidR="00AF19AD" w:rsidRPr="003139A4">
        <w:rPr>
          <w:rFonts w:ascii="Times New Roman" w:hAnsi="Times New Roman" w:cs="Times New Roman"/>
          <w:color w:val="000000" w:themeColor="text1"/>
          <w:sz w:val="26"/>
          <w:szCs w:val="26"/>
        </w:rPr>
        <w:t>, 7</w:t>
      </w:r>
      <w:r w:rsidRPr="003139A4">
        <w:rPr>
          <w:rFonts w:ascii="Times New Roman" w:hAnsi="Times New Roman" w:cs="Times New Roman"/>
          <w:color w:val="000000" w:themeColor="text1"/>
          <w:sz w:val="26"/>
          <w:szCs w:val="26"/>
        </w:rPr>
        <w:t xml:space="preserve">(4), 75-88.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Okeke, E. C., Nwafor, C. A., &amp; Okoro, R. N. (2021).Enhancing work readiness through work ethics education in vocational tr</w:t>
      </w:r>
      <w:r w:rsidR="00205A88" w:rsidRPr="003139A4">
        <w:rPr>
          <w:rFonts w:ascii="Times New Roman" w:hAnsi="Times New Roman" w:cs="Times New Roman"/>
          <w:color w:val="000000" w:themeColor="text1"/>
          <w:sz w:val="26"/>
          <w:szCs w:val="26"/>
        </w:rPr>
        <w:t>aining.</w:t>
      </w:r>
      <w:r w:rsidRPr="003139A4">
        <w:rPr>
          <w:rFonts w:ascii="Times New Roman" w:hAnsi="Times New Roman" w:cs="Times New Roman"/>
          <w:i/>
          <w:color w:val="000000" w:themeColor="text1"/>
          <w:sz w:val="26"/>
          <w:szCs w:val="26"/>
        </w:rPr>
        <w:t>African Journal of Education and Practice</w:t>
      </w:r>
      <w:r w:rsidRPr="003139A4">
        <w:rPr>
          <w:rFonts w:ascii="Times New Roman" w:hAnsi="Times New Roman" w:cs="Times New Roman"/>
          <w:color w:val="000000" w:themeColor="text1"/>
          <w:sz w:val="26"/>
          <w:szCs w:val="26"/>
        </w:rPr>
        <w:t xml:space="preserve">, 13*(3), 102-115.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Okojie, J. A. (2011). The importance of cognitive </w:t>
      </w:r>
      <w:r w:rsidR="00205A88" w:rsidRPr="003139A4">
        <w:rPr>
          <w:rFonts w:ascii="Times New Roman" w:hAnsi="Times New Roman" w:cs="Times New Roman"/>
          <w:color w:val="000000" w:themeColor="text1"/>
          <w:sz w:val="26"/>
          <w:szCs w:val="26"/>
        </w:rPr>
        <w:t>skills in vocational training.</w:t>
      </w:r>
      <w:r w:rsidRPr="003139A4">
        <w:rPr>
          <w:rFonts w:ascii="Times New Roman" w:hAnsi="Times New Roman" w:cs="Times New Roman"/>
          <w:i/>
          <w:color w:val="000000" w:themeColor="text1"/>
          <w:sz w:val="26"/>
          <w:szCs w:val="26"/>
        </w:rPr>
        <w:t>Journal of V</w:t>
      </w:r>
      <w:r w:rsidR="00205A88" w:rsidRPr="003139A4">
        <w:rPr>
          <w:rFonts w:ascii="Times New Roman" w:hAnsi="Times New Roman" w:cs="Times New Roman"/>
          <w:i/>
          <w:color w:val="000000" w:themeColor="text1"/>
          <w:sz w:val="26"/>
          <w:szCs w:val="26"/>
        </w:rPr>
        <w:t>ocational Education Research</w:t>
      </w:r>
      <w:r w:rsidR="00205A88" w:rsidRPr="003139A4">
        <w:rPr>
          <w:rFonts w:ascii="Times New Roman" w:hAnsi="Times New Roman" w:cs="Times New Roman"/>
          <w:color w:val="000000" w:themeColor="text1"/>
          <w:sz w:val="26"/>
          <w:szCs w:val="26"/>
        </w:rPr>
        <w:t>, 5</w:t>
      </w:r>
      <w:r w:rsidRPr="003139A4">
        <w:rPr>
          <w:rFonts w:ascii="Times New Roman" w:hAnsi="Times New Roman" w:cs="Times New Roman"/>
          <w:color w:val="000000" w:themeColor="text1"/>
          <w:sz w:val="26"/>
          <w:szCs w:val="26"/>
        </w:rPr>
        <w:t xml:space="preserve">(3), 19-32.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Okojie, M. (2011). Factors influencing the use of information and communication technology (ICT) in teaching and learning computer education in Nigerian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Okolie, U. C., &amp; Yusif, M. S. (2016). Enhancing workforce readines</w:t>
      </w:r>
      <w:r w:rsidR="00205A88" w:rsidRPr="003139A4">
        <w:rPr>
          <w:rFonts w:ascii="Times New Roman" w:hAnsi="Times New Roman" w:cs="Times New Roman"/>
          <w:color w:val="000000" w:themeColor="text1"/>
          <w:sz w:val="26"/>
          <w:szCs w:val="26"/>
        </w:rPr>
        <w:t>s through vocational training.</w:t>
      </w:r>
      <w:r w:rsidRPr="003139A4">
        <w:rPr>
          <w:rFonts w:ascii="Times New Roman" w:hAnsi="Times New Roman" w:cs="Times New Roman"/>
          <w:i/>
          <w:color w:val="000000" w:themeColor="text1"/>
          <w:sz w:val="26"/>
          <w:szCs w:val="26"/>
        </w:rPr>
        <w:t>Journal of Vocational</w:t>
      </w:r>
      <w:r w:rsidR="00205A88" w:rsidRPr="003139A4">
        <w:rPr>
          <w:rFonts w:ascii="Times New Roman" w:hAnsi="Times New Roman" w:cs="Times New Roman"/>
          <w:i/>
          <w:color w:val="000000" w:themeColor="text1"/>
          <w:sz w:val="26"/>
          <w:szCs w:val="26"/>
        </w:rPr>
        <w:t xml:space="preserve"> Education Research</w:t>
      </w:r>
      <w:r w:rsidR="00205A88" w:rsidRPr="003139A4">
        <w:rPr>
          <w:rFonts w:ascii="Times New Roman" w:hAnsi="Times New Roman" w:cs="Times New Roman"/>
          <w:color w:val="000000" w:themeColor="text1"/>
          <w:sz w:val="26"/>
          <w:szCs w:val="26"/>
        </w:rPr>
        <w:t>, 7</w:t>
      </w:r>
      <w:r w:rsidRPr="003139A4">
        <w:rPr>
          <w:rFonts w:ascii="Times New Roman" w:hAnsi="Times New Roman" w:cs="Times New Roman"/>
          <w:color w:val="000000" w:themeColor="text1"/>
          <w:sz w:val="26"/>
          <w:szCs w:val="26"/>
        </w:rPr>
        <w:t xml:space="preserve">(2), 89-103.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Oladimeji, K., &amp; Tunde, A. (2022). Modern tools and technologies in vocational education: A case study of </w:t>
      </w:r>
      <w:r w:rsidR="00205A88" w:rsidRPr="003139A4">
        <w:rPr>
          <w:rFonts w:ascii="Times New Roman" w:hAnsi="Times New Roman" w:cs="Times New Roman"/>
          <w:color w:val="000000" w:themeColor="text1"/>
          <w:sz w:val="26"/>
          <w:szCs w:val="26"/>
        </w:rPr>
        <w:t xml:space="preserve">technical colleges in Nigeria. </w:t>
      </w:r>
      <w:r w:rsidRPr="003139A4">
        <w:rPr>
          <w:rFonts w:ascii="Times New Roman" w:hAnsi="Times New Roman" w:cs="Times New Roman"/>
          <w:i/>
          <w:color w:val="000000" w:themeColor="text1"/>
          <w:sz w:val="26"/>
          <w:szCs w:val="26"/>
        </w:rPr>
        <w:t>Journal of Techn</w:t>
      </w:r>
      <w:r w:rsidR="00205A88" w:rsidRPr="003139A4">
        <w:rPr>
          <w:rFonts w:ascii="Times New Roman" w:hAnsi="Times New Roman" w:cs="Times New Roman"/>
          <w:i/>
          <w:color w:val="000000" w:themeColor="text1"/>
          <w:sz w:val="26"/>
          <w:szCs w:val="26"/>
        </w:rPr>
        <w:t>ical Education and Training</w:t>
      </w:r>
      <w:r w:rsidR="00205A88" w:rsidRPr="003139A4">
        <w:rPr>
          <w:rFonts w:ascii="Times New Roman" w:hAnsi="Times New Roman" w:cs="Times New Roman"/>
          <w:color w:val="000000" w:themeColor="text1"/>
          <w:sz w:val="26"/>
          <w:szCs w:val="26"/>
        </w:rPr>
        <w:t>, 14</w:t>
      </w:r>
      <w:r w:rsidRPr="003139A4">
        <w:rPr>
          <w:rFonts w:ascii="Times New Roman" w:hAnsi="Times New Roman" w:cs="Times New Roman"/>
          <w:color w:val="000000" w:themeColor="text1"/>
          <w:sz w:val="26"/>
          <w:szCs w:val="26"/>
        </w:rPr>
        <w:t>(</w:t>
      </w:r>
      <w:r w:rsidR="00205A88" w:rsidRPr="003139A4">
        <w:rPr>
          <w:rFonts w:ascii="Times New Roman" w:hAnsi="Times New Roman" w:cs="Times New Roman"/>
          <w:color w:val="000000" w:themeColor="text1"/>
          <w:sz w:val="26"/>
          <w:szCs w:val="26"/>
        </w:rPr>
        <w:t xml:space="preserve">4), 89-104.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Olawale, K., &amp; Ige, D. (2023). Personal development through vocational education: A </w:t>
      </w:r>
    </w:p>
    <w:p w:rsidR="00422994" w:rsidRPr="003139A4" w:rsidRDefault="00992341"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Nigerian perspective.</w:t>
      </w:r>
      <w:r w:rsidR="00422994" w:rsidRPr="003139A4">
        <w:rPr>
          <w:rFonts w:ascii="Times New Roman" w:hAnsi="Times New Roman" w:cs="Times New Roman"/>
          <w:i/>
          <w:color w:val="000000" w:themeColor="text1"/>
          <w:sz w:val="26"/>
          <w:szCs w:val="26"/>
        </w:rPr>
        <w:t>Journal of Persona</w:t>
      </w:r>
      <w:r w:rsidRPr="003139A4">
        <w:rPr>
          <w:rFonts w:ascii="Times New Roman" w:hAnsi="Times New Roman" w:cs="Times New Roman"/>
          <w:i/>
          <w:color w:val="000000" w:themeColor="text1"/>
          <w:sz w:val="26"/>
          <w:szCs w:val="26"/>
        </w:rPr>
        <w:t>l Development and Education</w:t>
      </w:r>
      <w:r w:rsidRPr="003139A4">
        <w:rPr>
          <w:rFonts w:ascii="Times New Roman" w:hAnsi="Times New Roman" w:cs="Times New Roman"/>
          <w:color w:val="000000" w:themeColor="text1"/>
          <w:sz w:val="26"/>
          <w:szCs w:val="26"/>
        </w:rPr>
        <w:t>, 12</w:t>
      </w:r>
      <w:r w:rsidR="00422994" w:rsidRPr="003139A4">
        <w:rPr>
          <w:rFonts w:ascii="Times New Roman" w:hAnsi="Times New Roman" w:cs="Times New Roman"/>
          <w:color w:val="000000" w:themeColor="text1"/>
          <w:sz w:val="26"/>
          <w:szCs w:val="26"/>
        </w:rPr>
        <w:t xml:space="preserve">(1), 56-68.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lastRenderedPageBreak/>
        <w:t>Olubunmi, A., &amp; Ijioma, C. (2023). Industry engagement and lifelong learning in vocational education: Enhanci</w:t>
      </w:r>
      <w:r w:rsidR="00DC48ED" w:rsidRPr="003139A4">
        <w:rPr>
          <w:rFonts w:ascii="Times New Roman" w:hAnsi="Times New Roman" w:cs="Times New Roman"/>
          <w:color w:val="000000" w:themeColor="text1"/>
          <w:sz w:val="26"/>
          <w:szCs w:val="26"/>
        </w:rPr>
        <w:t xml:space="preserve">ng adaptability and relevance. </w:t>
      </w:r>
      <w:r w:rsidRPr="003139A4">
        <w:rPr>
          <w:rFonts w:ascii="Times New Roman" w:hAnsi="Times New Roman" w:cs="Times New Roman"/>
          <w:i/>
          <w:color w:val="000000" w:themeColor="text1"/>
          <w:sz w:val="26"/>
          <w:szCs w:val="26"/>
        </w:rPr>
        <w:t>Journal of Educati</w:t>
      </w:r>
      <w:r w:rsidR="00DC48ED" w:rsidRPr="003139A4">
        <w:rPr>
          <w:rFonts w:ascii="Times New Roman" w:hAnsi="Times New Roman" w:cs="Times New Roman"/>
          <w:i/>
          <w:color w:val="000000" w:themeColor="text1"/>
          <w:sz w:val="26"/>
          <w:szCs w:val="26"/>
        </w:rPr>
        <w:t>onal and Career Development</w:t>
      </w:r>
      <w:r w:rsidR="00DC48ED" w:rsidRPr="003139A4">
        <w:rPr>
          <w:rFonts w:ascii="Times New Roman" w:hAnsi="Times New Roman" w:cs="Times New Roman"/>
          <w:color w:val="000000" w:themeColor="text1"/>
          <w:sz w:val="26"/>
          <w:szCs w:val="26"/>
        </w:rPr>
        <w:t>, 17</w:t>
      </w:r>
      <w:r w:rsidRPr="003139A4">
        <w:rPr>
          <w:rFonts w:ascii="Times New Roman" w:hAnsi="Times New Roman" w:cs="Times New Roman"/>
          <w:color w:val="000000" w:themeColor="text1"/>
          <w:sz w:val="26"/>
          <w:szCs w:val="26"/>
        </w:rPr>
        <w:t>(4), 134-148</w:t>
      </w:r>
      <w:r w:rsidR="00DC48ED" w:rsidRPr="003139A4">
        <w:rPr>
          <w:rFonts w:ascii="Times New Roman" w:hAnsi="Times New Roman" w:cs="Times New Roman"/>
          <w:color w:val="000000" w:themeColor="text1"/>
          <w:sz w:val="26"/>
          <w:szCs w:val="26"/>
        </w:rPr>
        <w:t>.</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Olukayode, O., &amp; Adeoye, A. (2022).Creating awareness for integrated cognitive and technical s</w:t>
      </w:r>
      <w:r w:rsidR="00B371CF" w:rsidRPr="003139A4">
        <w:rPr>
          <w:rFonts w:ascii="Times New Roman" w:hAnsi="Times New Roman" w:cs="Times New Roman"/>
          <w:color w:val="000000" w:themeColor="text1"/>
          <w:sz w:val="26"/>
          <w:szCs w:val="26"/>
        </w:rPr>
        <w:t>kills in vocational education.</w:t>
      </w:r>
      <w:r w:rsidRPr="003139A4">
        <w:rPr>
          <w:rFonts w:ascii="Times New Roman" w:hAnsi="Times New Roman" w:cs="Times New Roman"/>
          <w:i/>
          <w:color w:val="000000" w:themeColor="text1"/>
          <w:sz w:val="26"/>
          <w:szCs w:val="26"/>
        </w:rPr>
        <w:t>Nigerian Journal</w:t>
      </w:r>
      <w:r w:rsidR="00B371CF" w:rsidRPr="003139A4">
        <w:rPr>
          <w:rFonts w:ascii="Times New Roman" w:hAnsi="Times New Roman" w:cs="Times New Roman"/>
          <w:i/>
          <w:color w:val="000000" w:themeColor="text1"/>
          <w:sz w:val="26"/>
          <w:szCs w:val="26"/>
        </w:rPr>
        <w:t xml:space="preserve"> of Educational Development</w:t>
      </w:r>
      <w:r w:rsidR="00B371CF" w:rsidRPr="003139A4">
        <w:rPr>
          <w:rFonts w:ascii="Times New Roman" w:hAnsi="Times New Roman" w:cs="Times New Roman"/>
          <w:color w:val="000000" w:themeColor="text1"/>
          <w:sz w:val="26"/>
          <w:szCs w:val="26"/>
        </w:rPr>
        <w:t>, 16</w:t>
      </w:r>
      <w:r w:rsidRPr="003139A4">
        <w:rPr>
          <w:rFonts w:ascii="Times New Roman" w:hAnsi="Times New Roman" w:cs="Times New Roman"/>
          <w:color w:val="000000" w:themeColor="text1"/>
          <w:sz w:val="26"/>
          <w:szCs w:val="26"/>
        </w:rPr>
        <w:t>(2), 73-8</w:t>
      </w:r>
      <w:r w:rsidR="00B371CF" w:rsidRPr="003139A4">
        <w:rPr>
          <w:rFonts w:ascii="Times New Roman" w:hAnsi="Times New Roman" w:cs="Times New Roman"/>
          <w:color w:val="000000" w:themeColor="text1"/>
          <w:sz w:val="26"/>
          <w:szCs w:val="26"/>
        </w:rPr>
        <w:t xml:space="preserve">6.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Onyema, E. M. (2023). The role of hands-on training in vocational educati</w:t>
      </w:r>
      <w:r w:rsidR="00B371CF" w:rsidRPr="003139A4">
        <w:rPr>
          <w:rFonts w:ascii="Times New Roman" w:hAnsi="Times New Roman" w:cs="Times New Roman"/>
          <w:color w:val="000000" w:themeColor="text1"/>
          <w:sz w:val="26"/>
          <w:szCs w:val="26"/>
        </w:rPr>
        <w:t xml:space="preserve">on: Perspectives from Nigeria. </w:t>
      </w:r>
      <w:r w:rsidRPr="003139A4">
        <w:rPr>
          <w:rFonts w:ascii="Times New Roman" w:hAnsi="Times New Roman" w:cs="Times New Roman"/>
          <w:i/>
          <w:color w:val="000000" w:themeColor="text1"/>
          <w:sz w:val="26"/>
          <w:szCs w:val="26"/>
        </w:rPr>
        <w:t>Journal of Practical Educat</w:t>
      </w:r>
      <w:r w:rsidR="00B371CF" w:rsidRPr="003139A4">
        <w:rPr>
          <w:rFonts w:ascii="Times New Roman" w:hAnsi="Times New Roman" w:cs="Times New Roman"/>
          <w:i/>
          <w:color w:val="000000" w:themeColor="text1"/>
          <w:sz w:val="26"/>
          <w:szCs w:val="26"/>
        </w:rPr>
        <w:t>ion</w:t>
      </w:r>
      <w:r w:rsidR="00B371CF" w:rsidRPr="003139A4">
        <w:rPr>
          <w:rFonts w:ascii="Times New Roman" w:hAnsi="Times New Roman" w:cs="Times New Roman"/>
          <w:color w:val="000000" w:themeColor="text1"/>
          <w:sz w:val="26"/>
          <w:szCs w:val="26"/>
        </w:rPr>
        <w:t>, 8</w:t>
      </w:r>
      <w:r w:rsidRPr="003139A4">
        <w:rPr>
          <w:rFonts w:ascii="Times New Roman" w:hAnsi="Times New Roman" w:cs="Times New Roman"/>
          <w:color w:val="000000" w:themeColor="text1"/>
          <w:sz w:val="26"/>
          <w:szCs w:val="26"/>
        </w:rPr>
        <w:t xml:space="preserve">(3), 55-70.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Oviawe, J. I. (2018). Lifelong learning and vocational education: Preparing students for </w:t>
      </w:r>
      <w:r w:rsidR="00B371CF" w:rsidRPr="003139A4">
        <w:rPr>
          <w:rFonts w:ascii="Times New Roman" w:hAnsi="Times New Roman" w:cs="Times New Roman"/>
          <w:color w:val="000000" w:themeColor="text1"/>
          <w:sz w:val="26"/>
          <w:szCs w:val="26"/>
        </w:rPr>
        <w:t xml:space="preserve">continuous career development. </w:t>
      </w:r>
      <w:r w:rsidRPr="003139A4">
        <w:rPr>
          <w:rFonts w:ascii="Times New Roman" w:hAnsi="Times New Roman" w:cs="Times New Roman"/>
          <w:i/>
          <w:color w:val="000000" w:themeColor="text1"/>
          <w:sz w:val="26"/>
          <w:szCs w:val="26"/>
        </w:rPr>
        <w:t>Journal of Vocati</w:t>
      </w:r>
      <w:r w:rsidR="00B371CF" w:rsidRPr="003139A4">
        <w:rPr>
          <w:rFonts w:ascii="Times New Roman" w:hAnsi="Times New Roman" w:cs="Times New Roman"/>
          <w:i/>
          <w:color w:val="000000" w:themeColor="text1"/>
          <w:sz w:val="26"/>
          <w:szCs w:val="26"/>
        </w:rPr>
        <w:t>onal Education and Training</w:t>
      </w:r>
      <w:r w:rsidR="00B371CF" w:rsidRPr="003139A4">
        <w:rPr>
          <w:rFonts w:ascii="Times New Roman" w:hAnsi="Times New Roman" w:cs="Times New Roman"/>
          <w:color w:val="000000" w:themeColor="text1"/>
          <w:sz w:val="26"/>
          <w:szCs w:val="26"/>
        </w:rPr>
        <w:t>, 11</w:t>
      </w:r>
      <w:r w:rsidRPr="003139A4">
        <w:rPr>
          <w:rFonts w:ascii="Times New Roman" w:hAnsi="Times New Roman" w:cs="Times New Roman"/>
          <w:color w:val="000000" w:themeColor="text1"/>
          <w:sz w:val="26"/>
          <w:szCs w:val="26"/>
        </w:rPr>
        <w:t>(2), 66-80</w:t>
      </w:r>
      <w:r w:rsidR="00B371CF" w:rsidRPr="003139A4">
        <w:rPr>
          <w:rFonts w:ascii="Times New Roman" w:hAnsi="Times New Roman" w:cs="Times New Roman"/>
          <w:color w:val="000000" w:themeColor="text1"/>
          <w:sz w:val="26"/>
          <w:szCs w:val="26"/>
        </w:rPr>
        <w:t xml:space="preserve">.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Suleiman, A., Adeola, F., &amp; Lawal, R. (2023). Employability skills and workforce integration: A study of vo</w:t>
      </w:r>
      <w:r w:rsidR="00B371CF" w:rsidRPr="003139A4">
        <w:rPr>
          <w:rFonts w:ascii="Times New Roman" w:hAnsi="Times New Roman" w:cs="Times New Roman"/>
          <w:color w:val="000000" w:themeColor="text1"/>
          <w:sz w:val="26"/>
          <w:szCs w:val="26"/>
        </w:rPr>
        <w:t xml:space="preserve">cational graduates in Nigeria. </w:t>
      </w:r>
      <w:r w:rsidRPr="003139A4">
        <w:rPr>
          <w:rFonts w:ascii="Times New Roman" w:hAnsi="Times New Roman" w:cs="Times New Roman"/>
          <w:i/>
          <w:color w:val="000000" w:themeColor="text1"/>
          <w:sz w:val="26"/>
          <w:szCs w:val="26"/>
        </w:rPr>
        <w:t>Journal of Educati</w:t>
      </w:r>
      <w:r w:rsidR="00B371CF" w:rsidRPr="003139A4">
        <w:rPr>
          <w:rFonts w:ascii="Times New Roman" w:hAnsi="Times New Roman" w:cs="Times New Roman"/>
          <w:i/>
          <w:color w:val="000000" w:themeColor="text1"/>
          <w:sz w:val="26"/>
          <w:szCs w:val="26"/>
        </w:rPr>
        <w:t>onal and Vocational Studies</w:t>
      </w:r>
      <w:r w:rsidR="00B371CF" w:rsidRPr="003139A4">
        <w:rPr>
          <w:rFonts w:ascii="Times New Roman" w:hAnsi="Times New Roman" w:cs="Times New Roman"/>
          <w:color w:val="000000" w:themeColor="text1"/>
          <w:sz w:val="26"/>
          <w:szCs w:val="26"/>
        </w:rPr>
        <w:t>, 15</w:t>
      </w:r>
      <w:r w:rsidRPr="003139A4">
        <w:rPr>
          <w:rFonts w:ascii="Times New Roman" w:hAnsi="Times New Roman" w:cs="Times New Roman"/>
          <w:color w:val="000000" w:themeColor="text1"/>
          <w:sz w:val="26"/>
          <w:szCs w:val="26"/>
        </w:rPr>
        <w:t xml:space="preserve">(2), 123-139.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 xml:space="preserve">Suleiman, A., Oladipo, S., &amp; Musa, I. (2022).Enhancing employability through vocational education: A study of </w:t>
      </w:r>
      <w:r w:rsidR="004E618D" w:rsidRPr="003139A4">
        <w:rPr>
          <w:rFonts w:ascii="Times New Roman" w:hAnsi="Times New Roman" w:cs="Times New Roman"/>
          <w:color w:val="000000" w:themeColor="text1"/>
          <w:sz w:val="26"/>
          <w:szCs w:val="26"/>
        </w:rPr>
        <w:t>Nigerian vocational graduates.</w:t>
      </w:r>
      <w:r w:rsidRPr="003139A4">
        <w:rPr>
          <w:rFonts w:ascii="Times New Roman" w:hAnsi="Times New Roman" w:cs="Times New Roman"/>
          <w:i/>
          <w:color w:val="000000" w:themeColor="text1"/>
          <w:sz w:val="26"/>
          <w:szCs w:val="26"/>
        </w:rPr>
        <w:t>Journal of Educati</w:t>
      </w:r>
      <w:r w:rsidR="004E618D" w:rsidRPr="003139A4">
        <w:rPr>
          <w:rFonts w:ascii="Times New Roman" w:hAnsi="Times New Roman" w:cs="Times New Roman"/>
          <w:i/>
          <w:color w:val="000000" w:themeColor="text1"/>
          <w:sz w:val="26"/>
          <w:szCs w:val="26"/>
        </w:rPr>
        <w:t>onal and Vocational Studies</w:t>
      </w:r>
      <w:r w:rsidR="004E618D" w:rsidRPr="003139A4">
        <w:rPr>
          <w:rFonts w:ascii="Times New Roman" w:hAnsi="Times New Roman" w:cs="Times New Roman"/>
          <w:color w:val="000000" w:themeColor="text1"/>
          <w:sz w:val="26"/>
          <w:szCs w:val="26"/>
        </w:rPr>
        <w:t>, 14</w:t>
      </w:r>
      <w:r w:rsidRPr="003139A4">
        <w:rPr>
          <w:rFonts w:ascii="Times New Roman" w:hAnsi="Times New Roman" w:cs="Times New Roman"/>
          <w:color w:val="000000" w:themeColor="text1"/>
          <w:sz w:val="26"/>
          <w:szCs w:val="26"/>
        </w:rPr>
        <w:t xml:space="preserve">(2), 134-147. </w:t>
      </w:r>
    </w:p>
    <w:p w:rsidR="00422994" w:rsidRPr="003139A4" w:rsidRDefault="00422994" w:rsidP="00750353">
      <w:pPr>
        <w:tabs>
          <w:tab w:val="left" w:pos="8647"/>
          <w:tab w:val="left" w:pos="9072"/>
          <w:tab w:val="left" w:pos="9214"/>
        </w:tabs>
        <w:spacing w:after="0" w:line="240" w:lineRule="auto"/>
        <w:ind w:left="720" w:hanging="720"/>
        <w:jc w:val="both"/>
        <w:rPr>
          <w:rFonts w:ascii="Times New Roman" w:hAnsi="Times New Roman" w:cs="Times New Roman"/>
          <w:color w:val="000000" w:themeColor="text1"/>
          <w:sz w:val="26"/>
          <w:szCs w:val="26"/>
        </w:rPr>
      </w:pPr>
      <w:r w:rsidRPr="003139A4">
        <w:rPr>
          <w:rFonts w:ascii="Times New Roman" w:hAnsi="Times New Roman" w:cs="Times New Roman"/>
          <w:color w:val="000000" w:themeColor="text1"/>
          <w:sz w:val="26"/>
          <w:szCs w:val="26"/>
        </w:rPr>
        <w:t>Yusuf, A. (2023). Lifelong learning in vocational education: Prepa</w:t>
      </w:r>
      <w:r w:rsidR="004E618D" w:rsidRPr="003139A4">
        <w:rPr>
          <w:rFonts w:ascii="Times New Roman" w:hAnsi="Times New Roman" w:cs="Times New Roman"/>
          <w:color w:val="000000" w:themeColor="text1"/>
          <w:sz w:val="26"/>
          <w:szCs w:val="26"/>
        </w:rPr>
        <w:t xml:space="preserve">ring for the future workforce. </w:t>
      </w:r>
      <w:r w:rsidRPr="003139A4">
        <w:rPr>
          <w:rFonts w:ascii="Times New Roman" w:hAnsi="Times New Roman" w:cs="Times New Roman"/>
          <w:i/>
          <w:color w:val="000000" w:themeColor="text1"/>
          <w:sz w:val="26"/>
          <w:szCs w:val="26"/>
        </w:rPr>
        <w:t>Journal of Lifelong Educa</w:t>
      </w:r>
      <w:r w:rsidR="004E618D" w:rsidRPr="003139A4">
        <w:rPr>
          <w:rFonts w:ascii="Times New Roman" w:hAnsi="Times New Roman" w:cs="Times New Roman"/>
          <w:i/>
          <w:color w:val="000000" w:themeColor="text1"/>
          <w:sz w:val="26"/>
          <w:szCs w:val="26"/>
        </w:rPr>
        <w:t>tion</w:t>
      </w:r>
      <w:r w:rsidR="004E618D" w:rsidRPr="003139A4">
        <w:rPr>
          <w:rFonts w:ascii="Times New Roman" w:hAnsi="Times New Roman" w:cs="Times New Roman"/>
          <w:color w:val="000000" w:themeColor="text1"/>
          <w:sz w:val="26"/>
          <w:szCs w:val="26"/>
        </w:rPr>
        <w:t>, 6</w:t>
      </w:r>
      <w:r w:rsidRPr="003139A4">
        <w:rPr>
          <w:rFonts w:ascii="Times New Roman" w:hAnsi="Times New Roman" w:cs="Times New Roman"/>
          <w:color w:val="000000" w:themeColor="text1"/>
          <w:sz w:val="26"/>
          <w:szCs w:val="26"/>
        </w:rPr>
        <w:t xml:space="preserve">(3), 92-105. </w:t>
      </w:r>
    </w:p>
    <w:p w:rsidR="00422994" w:rsidRPr="003139A4" w:rsidRDefault="00422994" w:rsidP="00750353">
      <w:pPr>
        <w:tabs>
          <w:tab w:val="left" w:pos="8647"/>
          <w:tab w:val="left" w:pos="9072"/>
          <w:tab w:val="left" w:pos="9214"/>
        </w:tabs>
        <w:spacing w:after="0" w:line="240" w:lineRule="auto"/>
        <w:ind w:left="720" w:hanging="720"/>
        <w:rPr>
          <w:rFonts w:ascii="Times New Roman" w:hAnsi="Times New Roman" w:cs="Times New Roman"/>
          <w:color w:val="000000" w:themeColor="text1"/>
          <w:sz w:val="26"/>
          <w:szCs w:val="26"/>
        </w:rPr>
      </w:pPr>
    </w:p>
    <w:p w:rsidR="00422994" w:rsidRPr="003139A4" w:rsidRDefault="00422994" w:rsidP="00750353">
      <w:pPr>
        <w:tabs>
          <w:tab w:val="left" w:pos="8647"/>
          <w:tab w:val="left" w:pos="9072"/>
          <w:tab w:val="left" w:pos="9214"/>
        </w:tabs>
        <w:spacing w:after="0" w:line="240" w:lineRule="auto"/>
        <w:ind w:left="720" w:hanging="720"/>
        <w:rPr>
          <w:rFonts w:ascii="Times New Roman" w:hAnsi="Times New Roman" w:cs="Times New Roman"/>
          <w:color w:val="000000" w:themeColor="text1"/>
          <w:sz w:val="26"/>
          <w:szCs w:val="26"/>
        </w:rPr>
      </w:pPr>
    </w:p>
    <w:p w:rsidR="00750353" w:rsidRDefault="0075035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772ACC" w:rsidRPr="003139A4" w:rsidRDefault="00772ACC" w:rsidP="00750353">
      <w:pPr>
        <w:spacing w:after="0" w:line="240" w:lineRule="auto"/>
        <w:ind w:left="720" w:hanging="720"/>
        <w:jc w:val="center"/>
        <w:rPr>
          <w:rFonts w:ascii="Times New Roman" w:hAnsi="Times New Roman" w:cs="Times New Roman"/>
          <w:b/>
          <w:bCs/>
          <w:color w:val="000000" w:themeColor="text1"/>
          <w:sz w:val="26"/>
          <w:szCs w:val="26"/>
        </w:rPr>
      </w:pPr>
    </w:p>
    <w:p w:rsidR="002614B2" w:rsidRDefault="00673F0A" w:rsidP="00750353">
      <w:pPr>
        <w:spacing w:after="0" w:line="240" w:lineRule="auto"/>
        <w:ind w:left="720"/>
        <w:jc w:val="center"/>
        <w:rPr>
          <w:rFonts w:ascii="Times New Roman" w:hAnsi="Times New Roman" w:cs="Times New Roman"/>
          <w:b/>
          <w:bCs/>
          <w:sz w:val="26"/>
          <w:szCs w:val="26"/>
        </w:rPr>
      </w:pPr>
      <w:r w:rsidRPr="00210BD3">
        <w:rPr>
          <w:rFonts w:ascii="Times New Roman" w:hAnsi="Times New Roman" w:cs="Times New Roman"/>
          <w:b/>
          <w:bCs/>
          <w:sz w:val="26"/>
          <w:szCs w:val="26"/>
        </w:rPr>
        <w:t xml:space="preserve">QUALITY ASSESSMENT PRACTICES AND JOB PERFORMANCE </w:t>
      </w:r>
    </w:p>
    <w:p w:rsidR="002614B2" w:rsidRDefault="00673F0A" w:rsidP="00750353">
      <w:pPr>
        <w:spacing w:after="0" w:line="240" w:lineRule="auto"/>
        <w:ind w:left="720"/>
        <w:jc w:val="center"/>
        <w:rPr>
          <w:rFonts w:ascii="Times New Roman" w:hAnsi="Times New Roman" w:cs="Times New Roman"/>
          <w:b/>
          <w:bCs/>
          <w:sz w:val="26"/>
          <w:szCs w:val="26"/>
        </w:rPr>
      </w:pPr>
      <w:r w:rsidRPr="00210BD3">
        <w:rPr>
          <w:rFonts w:ascii="Times New Roman" w:hAnsi="Times New Roman" w:cs="Times New Roman"/>
          <w:b/>
          <w:bCs/>
          <w:sz w:val="26"/>
          <w:szCs w:val="26"/>
        </w:rPr>
        <w:t xml:space="preserve">OF BUSINESS EDUCATORS IN SECONDARY SCHOOLS </w:t>
      </w:r>
    </w:p>
    <w:p w:rsidR="00673F0A" w:rsidRPr="00210BD3" w:rsidRDefault="00673F0A" w:rsidP="00750353">
      <w:pPr>
        <w:spacing w:after="0" w:line="240" w:lineRule="auto"/>
        <w:ind w:left="720"/>
        <w:jc w:val="center"/>
        <w:rPr>
          <w:rFonts w:ascii="Times New Roman" w:hAnsi="Times New Roman" w:cs="Times New Roman"/>
          <w:b/>
          <w:bCs/>
          <w:sz w:val="26"/>
          <w:szCs w:val="26"/>
        </w:rPr>
      </w:pPr>
      <w:r w:rsidRPr="00210BD3">
        <w:rPr>
          <w:rFonts w:ascii="Times New Roman" w:hAnsi="Times New Roman" w:cs="Times New Roman"/>
          <w:b/>
          <w:bCs/>
          <w:sz w:val="26"/>
          <w:szCs w:val="26"/>
        </w:rPr>
        <w:t>IN CROSS RIVER STATE</w:t>
      </w:r>
    </w:p>
    <w:p w:rsidR="002614B2" w:rsidRDefault="002614B2" w:rsidP="00750353">
      <w:pPr>
        <w:spacing w:after="0" w:line="240" w:lineRule="auto"/>
        <w:ind w:left="720"/>
        <w:jc w:val="center"/>
        <w:rPr>
          <w:rFonts w:ascii="Times New Roman" w:hAnsi="Times New Roman" w:cs="Times New Roman"/>
          <w:b/>
          <w:bCs/>
          <w:sz w:val="26"/>
          <w:szCs w:val="26"/>
        </w:rPr>
      </w:pPr>
    </w:p>
    <w:p w:rsidR="00673F0A" w:rsidRPr="002614B2" w:rsidRDefault="00673F0A" w:rsidP="00750353">
      <w:pPr>
        <w:spacing w:after="0" w:line="240" w:lineRule="auto"/>
        <w:ind w:left="720"/>
        <w:jc w:val="center"/>
        <w:rPr>
          <w:rFonts w:ascii="Times New Roman" w:hAnsi="Times New Roman" w:cs="Times New Roman"/>
          <w:b/>
          <w:bCs/>
          <w:color w:val="000000" w:themeColor="text1"/>
          <w:sz w:val="26"/>
          <w:szCs w:val="26"/>
        </w:rPr>
      </w:pPr>
      <w:r w:rsidRPr="002614B2">
        <w:rPr>
          <w:rFonts w:ascii="Times New Roman" w:hAnsi="Times New Roman" w:cs="Times New Roman"/>
          <w:b/>
          <w:bCs/>
          <w:color w:val="000000" w:themeColor="text1"/>
          <w:sz w:val="26"/>
          <w:szCs w:val="26"/>
        </w:rPr>
        <w:t>Agnes A. EWURU (Ph.D)</w:t>
      </w:r>
    </w:p>
    <w:p w:rsidR="00673F0A" w:rsidRPr="002614B2" w:rsidRDefault="00673F0A" w:rsidP="00750353">
      <w:pPr>
        <w:spacing w:after="0" w:line="240" w:lineRule="auto"/>
        <w:ind w:left="720"/>
        <w:jc w:val="center"/>
        <w:rPr>
          <w:rFonts w:ascii="Times New Roman" w:hAnsi="Times New Roman" w:cs="Times New Roman"/>
          <w:bCs/>
          <w:color w:val="000000" w:themeColor="text1"/>
          <w:sz w:val="26"/>
          <w:szCs w:val="26"/>
        </w:rPr>
      </w:pPr>
      <w:r w:rsidRPr="002614B2">
        <w:rPr>
          <w:rFonts w:ascii="Times New Roman" w:hAnsi="Times New Roman" w:cs="Times New Roman"/>
          <w:bCs/>
          <w:color w:val="000000" w:themeColor="text1"/>
          <w:sz w:val="26"/>
          <w:szCs w:val="26"/>
        </w:rPr>
        <w:t>Department of Business Education,</w:t>
      </w:r>
    </w:p>
    <w:p w:rsidR="00673F0A" w:rsidRPr="002614B2" w:rsidRDefault="00673F0A" w:rsidP="00750353">
      <w:pPr>
        <w:spacing w:after="0" w:line="240" w:lineRule="auto"/>
        <w:ind w:left="720"/>
        <w:jc w:val="center"/>
        <w:rPr>
          <w:rFonts w:ascii="Times New Roman" w:hAnsi="Times New Roman" w:cs="Times New Roman"/>
          <w:bCs/>
          <w:color w:val="000000" w:themeColor="text1"/>
          <w:sz w:val="26"/>
          <w:szCs w:val="26"/>
        </w:rPr>
      </w:pPr>
      <w:r w:rsidRPr="002614B2">
        <w:rPr>
          <w:rFonts w:ascii="Times New Roman" w:hAnsi="Times New Roman" w:cs="Times New Roman"/>
          <w:bCs/>
          <w:color w:val="000000" w:themeColor="text1"/>
          <w:sz w:val="26"/>
          <w:szCs w:val="26"/>
        </w:rPr>
        <w:t>University of Calabar, Cross River Stae</w:t>
      </w:r>
    </w:p>
    <w:p w:rsidR="00673F0A" w:rsidRPr="002614B2" w:rsidRDefault="00330E99" w:rsidP="00750353">
      <w:pPr>
        <w:spacing w:after="0" w:line="240" w:lineRule="auto"/>
        <w:ind w:left="720"/>
        <w:jc w:val="center"/>
        <w:rPr>
          <w:rFonts w:ascii="Times New Roman" w:hAnsi="Times New Roman" w:cs="Times New Roman"/>
          <w:bCs/>
          <w:color w:val="000000" w:themeColor="text1"/>
          <w:sz w:val="26"/>
          <w:szCs w:val="26"/>
        </w:rPr>
      </w:pPr>
      <w:hyperlink r:id="rId57" w:history="1">
        <w:r w:rsidR="00673F0A" w:rsidRPr="002614B2">
          <w:rPr>
            <w:rStyle w:val="Hyperlink"/>
            <w:rFonts w:ascii="Times New Roman" w:hAnsi="Times New Roman" w:cs="Times New Roman"/>
            <w:bCs/>
            <w:color w:val="000000" w:themeColor="text1"/>
            <w:sz w:val="26"/>
            <w:szCs w:val="26"/>
            <w:u w:val="none"/>
          </w:rPr>
          <w:t>eagnes@unical.edu.ng</w:t>
        </w:r>
      </w:hyperlink>
      <w:r w:rsidR="00673F0A" w:rsidRPr="002614B2">
        <w:rPr>
          <w:rFonts w:ascii="Times New Roman" w:hAnsi="Times New Roman" w:cs="Times New Roman"/>
          <w:bCs/>
          <w:color w:val="000000" w:themeColor="text1"/>
          <w:sz w:val="26"/>
          <w:szCs w:val="26"/>
        </w:rPr>
        <w:t xml:space="preserve"> 07030532140</w:t>
      </w:r>
    </w:p>
    <w:p w:rsidR="006D610E" w:rsidRPr="002614B2" w:rsidRDefault="006D610E" w:rsidP="00750353">
      <w:pPr>
        <w:spacing w:after="0" w:line="240" w:lineRule="auto"/>
        <w:ind w:left="720"/>
        <w:jc w:val="center"/>
        <w:rPr>
          <w:rFonts w:ascii="Times New Roman" w:hAnsi="Times New Roman" w:cs="Times New Roman"/>
          <w:bCs/>
          <w:color w:val="000000" w:themeColor="text1"/>
          <w:sz w:val="26"/>
          <w:szCs w:val="26"/>
        </w:rPr>
      </w:pPr>
    </w:p>
    <w:p w:rsidR="00673F0A" w:rsidRPr="002614B2" w:rsidRDefault="00673F0A" w:rsidP="00750353">
      <w:pPr>
        <w:spacing w:after="0" w:line="240" w:lineRule="auto"/>
        <w:ind w:left="720"/>
        <w:jc w:val="center"/>
        <w:rPr>
          <w:rFonts w:ascii="Times New Roman" w:hAnsi="Times New Roman" w:cs="Times New Roman"/>
          <w:b/>
          <w:bCs/>
          <w:color w:val="000000" w:themeColor="text1"/>
          <w:sz w:val="26"/>
          <w:szCs w:val="26"/>
        </w:rPr>
      </w:pPr>
      <w:r w:rsidRPr="002614B2">
        <w:rPr>
          <w:rFonts w:ascii="Times New Roman" w:hAnsi="Times New Roman" w:cs="Times New Roman"/>
          <w:b/>
          <w:bCs/>
          <w:color w:val="000000" w:themeColor="text1"/>
          <w:sz w:val="26"/>
          <w:szCs w:val="26"/>
        </w:rPr>
        <w:t xml:space="preserve">Dr. Undelishima, Patience USHIE </w:t>
      </w:r>
    </w:p>
    <w:p w:rsidR="00673F0A" w:rsidRPr="002614B2" w:rsidRDefault="00330E99" w:rsidP="00750353">
      <w:pPr>
        <w:spacing w:after="0" w:line="240" w:lineRule="auto"/>
        <w:ind w:left="720"/>
        <w:jc w:val="center"/>
        <w:rPr>
          <w:rFonts w:ascii="Times New Roman" w:hAnsi="Times New Roman" w:cs="Times New Roman"/>
          <w:bCs/>
          <w:color w:val="000000" w:themeColor="text1"/>
          <w:sz w:val="26"/>
          <w:szCs w:val="26"/>
        </w:rPr>
      </w:pPr>
      <w:hyperlink r:id="rId58" w:history="1">
        <w:r w:rsidR="00673F0A" w:rsidRPr="002614B2">
          <w:rPr>
            <w:rStyle w:val="Hyperlink"/>
            <w:rFonts w:ascii="Times New Roman" w:hAnsi="Times New Roman" w:cs="Times New Roman"/>
            <w:bCs/>
            <w:color w:val="000000" w:themeColor="text1"/>
            <w:sz w:val="26"/>
            <w:szCs w:val="26"/>
            <w:u w:val="none"/>
          </w:rPr>
          <w:t>ushiepatienceapu@gmail.com</w:t>
        </w:r>
      </w:hyperlink>
    </w:p>
    <w:p w:rsidR="00673F0A" w:rsidRPr="002614B2" w:rsidRDefault="00673F0A" w:rsidP="00750353">
      <w:pPr>
        <w:spacing w:after="0" w:line="240" w:lineRule="auto"/>
        <w:ind w:left="720"/>
        <w:jc w:val="center"/>
        <w:rPr>
          <w:rFonts w:ascii="Times New Roman" w:hAnsi="Times New Roman" w:cs="Times New Roman"/>
          <w:bCs/>
          <w:color w:val="000000" w:themeColor="text1"/>
          <w:sz w:val="26"/>
          <w:szCs w:val="26"/>
        </w:rPr>
      </w:pPr>
      <w:r w:rsidRPr="002614B2">
        <w:rPr>
          <w:rFonts w:ascii="Times New Roman" w:hAnsi="Times New Roman" w:cs="Times New Roman"/>
          <w:bCs/>
          <w:color w:val="000000" w:themeColor="text1"/>
          <w:sz w:val="26"/>
          <w:szCs w:val="26"/>
        </w:rPr>
        <w:t>Department of Business Education</w:t>
      </w:r>
    </w:p>
    <w:p w:rsidR="00673F0A" w:rsidRPr="00210BD3" w:rsidRDefault="00673F0A" w:rsidP="00750353">
      <w:pPr>
        <w:spacing w:after="0" w:line="240" w:lineRule="auto"/>
        <w:ind w:left="720"/>
        <w:jc w:val="center"/>
        <w:rPr>
          <w:rFonts w:ascii="Times New Roman" w:hAnsi="Times New Roman" w:cs="Times New Roman"/>
          <w:bCs/>
          <w:sz w:val="26"/>
          <w:szCs w:val="26"/>
        </w:rPr>
      </w:pPr>
      <w:r w:rsidRPr="00210BD3">
        <w:rPr>
          <w:rFonts w:ascii="Times New Roman" w:hAnsi="Times New Roman" w:cs="Times New Roman"/>
          <w:bCs/>
          <w:sz w:val="26"/>
          <w:szCs w:val="26"/>
        </w:rPr>
        <w:t>University of Calabar, Cross River Stae</w:t>
      </w:r>
    </w:p>
    <w:p w:rsidR="002614B2" w:rsidRDefault="002614B2" w:rsidP="00750353">
      <w:pPr>
        <w:spacing w:line="240" w:lineRule="auto"/>
        <w:ind w:left="720"/>
        <w:jc w:val="center"/>
        <w:rPr>
          <w:rFonts w:ascii="Times New Roman" w:hAnsi="Times New Roman" w:cs="Times New Roman"/>
          <w:b/>
          <w:bCs/>
          <w:sz w:val="26"/>
          <w:szCs w:val="26"/>
        </w:rPr>
      </w:pPr>
    </w:p>
    <w:p w:rsidR="00673F0A" w:rsidRPr="00210BD3" w:rsidRDefault="00673F0A" w:rsidP="00750353">
      <w:pPr>
        <w:spacing w:after="0" w:line="240" w:lineRule="auto"/>
        <w:ind w:left="720"/>
        <w:jc w:val="center"/>
        <w:rPr>
          <w:rFonts w:ascii="Times New Roman" w:hAnsi="Times New Roman" w:cs="Times New Roman"/>
          <w:b/>
          <w:bCs/>
          <w:sz w:val="26"/>
          <w:szCs w:val="26"/>
        </w:rPr>
      </w:pPr>
      <w:r w:rsidRPr="00210BD3">
        <w:rPr>
          <w:rFonts w:ascii="Times New Roman" w:hAnsi="Times New Roman" w:cs="Times New Roman"/>
          <w:b/>
          <w:bCs/>
          <w:sz w:val="26"/>
          <w:szCs w:val="26"/>
        </w:rPr>
        <w:t>Abstrac</w:t>
      </w:r>
      <w:r w:rsidR="00156FB0" w:rsidRPr="00210BD3">
        <w:rPr>
          <w:rFonts w:ascii="Times New Roman" w:hAnsi="Times New Roman" w:cs="Times New Roman"/>
          <w:b/>
          <w:bCs/>
          <w:sz w:val="26"/>
          <w:szCs w:val="26"/>
        </w:rPr>
        <w:t>t</w:t>
      </w:r>
    </w:p>
    <w:p w:rsidR="00673F0A" w:rsidRPr="00210BD3" w:rsidRDefault="00673F0A" w:rsidP="00750353">
      <w:pPr>
        <w:pStyle w:val="Default"/>
        <w:ind w:left="720"/>
        <w:jc w:val="both"/>
        <w:rPr>
          <w:bCs/>
          <w:i/>
          <w:sz w:val="26"/>
          <w:szCs w:val="26"/>
        </w:rPr>
      </w:pPr>
      <w:r w:rsidRPr="00210BD3">
        <w:rPr>
          <w:bCs/>
          <w:i/>
          <w:sz w:val="26"/>
          <w:szCs w:val="26"/>
        </w:rPr>
        <w:t>The study investigated influence of quality assessment practices on job performance of business educators in secondary schools in Cross River State</w:t>
      </w:r>
      <w:r w:rsidRPr="00210BD3">
        <w:rPr>
          <w:i/>
          <w:sz w:val="26"/>
          <w:szCs w:val="26"/>
        </w:rPr>
        <w:t>.</w:t>
      </w:r>
      <w:r w:rsidRPr="00210BD3">
        <w:rPr>
          <w:bCs/>
          <w:i/>
          <w:sz w:val="26"/>
          <w:szCs w:val="26"/>
        </w:rPr>
        <w:t xml:space="preserve"> The study achieved two specific purposes and corresponding research questions and hypotheses were formulated to guide the study. The study adopted </w:t>
      </w:r>
      <w:r w:rsidRPr="00210BD3">
        <w:rPr>
          <w:i/>
          <w:sz w:val="26"/>
          <w:szCs w:val="26"/>
        </w:rPr>
        <w:t>correlation</w:t>
      </w:r>
      <w:r w:rsidRPr="00210BD3">
        <w:rPr>
          <w:bCs/>
          <w:i/>
          <w:sz w:val="26"/>
          <w:szCs w:val="26"/>
        </w:rPr>
        <w:t xml:space="preserve"> survey design and the population of 487 business education teachers from which a sample of 220</w:t>
      </w:r>
      <w:r w:rsidRPr="00210BD3">
        <w:rPr>
          <w:i/>
          <w:sz w:val="26"/>
          <w:szCs w:val="26"/>
        </w:rPr>
        <w:t xml:space="preserve"> respondents was </w:t>
      </w:r>
      <w:r w:rsidRPr="00210BD3">
        <w:rPr>
          <w:bCs/>
          <w:i/>
          <w:sz w:val="26"/>
          <w:szCs w:val="26"/>
        </w:rPr>
        <w:t>selected using simple random sampling technique. A researcher-made instrument titled “</w:t>
      </w:r>
      <w:r w:rsidRPr="00210BD3">
        <w:rPr>
          <w:i/>
          <w:sz w:val="26"/>
          <w:szCs w:val="26"/>
        </w:rPr>
        <w:t>Quality Assessment Practices and Teachers’ Job Performance Questionnaire” (QAPTJPQ)</w:t>
      </w:r>
      <w:r w:rsidRPr="00210BD3">
        <w:rPr>
          <w:bCs/>
          <w:i/>
          <w:sz w:val="26"/>
          <w:szCs w:val="26"/>
        </w:rPr>
        <w:t xml:space="preserve"> used for data collection was validated by three </w:t>
      </w:r>
      <w:r w:rsidRPr="00210BD3">
        <w:rPr>
          <w:i/>
          <w:sz w:val="26"/>
          <w:szCs w:val="26"/>
        </w:rPr>
        <w:t>educational specialists from University of Uyo</w:t>
      </w:r>
      <w:r w:rsidRPr="00210BD3">
        <w:rPr>
          <w:bCs/>
          <w:i/>
          <w:sz w:val="26"/>
          <w:szCs w:val="26"/>
        </w:rPr>
        <w:t>. The reliability of the instrument yielded a reliability coefficient of .82 using Cronbach Alpha method. The obtained data was analysed using linear regression for answering research question as well as testing the null hypotheses at .05 levels of significance. Findings of the study indicate that: to a high extent the staff supervision and staff evaluation practices influence job performance of business educators in secondary schools in Cross River State. Findings further reveal that there is a significant influence of staff supervision and staff evaluation practices on job performance of business educators in secondary schools in Calabar Municipality. The conclusion drawn is that q</w:t>
      </w:r>
      <w:r w:rsidRPr="00210BD3">
        <w:rPr>
          <w:i/>
          <w:sz w:val="26"/>
          <w:szCs w:val="26"/>
        </w:rPr>
        <w:t xml:space="preserve">uality assessment is crucial and should remain a vital index for promoting and sustaining the performance of teachers in secondary schools. </w:t>
      </w:r>
      <w:r w:rsidRPr="00210BD3">
        <w:rPr>
          <w:bCs/>
          <w:i/>
          <w:sz w:val="26"/>
          <w:szCs w:val="26"/>
        </w:rPr>
        <w:t>Based on the findings, the study recommended among others that: School Administrators should ensure that decisions taken in the school system are based on feedbacks from supervision and evaluation results. Taking decisions without adequate research and findings should be avoided.</w:t>
      </w:r>
    </w:p>
    <w:p w:rsidR="00673F0A" w:rsidRPr="00210BD3" w:rsidRDefault="00673F0A" w:rsidP="007137CC">
      <w:pPr>
        <w:spacing w:line="240" w:lineRule="auto"/>
        <w:rPr>
          <w:rFonts w:ascii="Times New Roman" w:hAnsi="Times New Roman" w:cs="Times New Roman"/>
          <w:b/>
          <w:bCs/>
          <w:sz w:val="26"/>
          <w:szCs w:val="26"/>
        </w:rPr>
      </w:pPr>
    </w:p>
    <w:p w:rsidR="00673F0A" w:rsidRPr="00210BD3" w:rsidRDefault="00673F0A" w:rsidP="007137CC">
      <w:pPr>
        <w:spacing w:line="240" w:lineRule="auto"/>
        <w:rPr>
          <w:rFonts w:ascii="Times New Roman" w:hAnsi="Times New Roman" w:cs="Times New Roman"/>
          <w:b/>
          <w:bCs/>
          <w:sz w:val="26"/>
          <w:szCs w:val="26"/>
        </w:rPr>
      </w:pPr>
      <w:r w:rsidRPr="00210BD3">
        <w:rPr>
          <w:rFonts w:ascii="Times New Roman" w:hAnsi="Times New Roman" w:cs="Times New Roman"/>
          <w:b/>
          <w:bCs/>
          <w:sz w:val="26"/>
          <w:szCs w:val="26"/>
        </w:rPr>
        <w:t xml:space="preserve">KEY WORDS:  </w:t>
      </w:r>
      <w:r w:rsidRPr="00210BD3">
        <w:rPr>
          <w:rFonts w:ascii="Times New Roman" w:hAnsi="Times New Roman" w:cs="Times New Roman"/>
          <w:bCs/>
          <w:sz w:val="26"/>
          <w:szCs w:val="26"/>
        </w:rPr>
        <w:t>Assessment, evaluation, job, Quality, Supervision and performanc</w:t>
      </w:r>
    </w:p>
    <w:p w:rsidR="00391D96" w:rsidRDefault="00391D96" w:rsidP="007137CC">
      <w:pPr>
        <w:spacing w:after="0" w:line="240" w:lineRule="auto"/>
        <w:rPr>
          <w:rFonts w:ascii="Times New Roman" w:hAnsi="Times New Roman" w:cs="Times New Roman"/>
          <w:b/>
          <w:bCs/>
          <w:sz w:val="26"/>
          <w:szCs w:val="26"/>
        </w:rPr>
        <w:sectPr w:rsidR="00391D96" w:rsidSect="00210BD3">
          <w:type w:val="continuous"/>
          <w:pgSz w:w="12240" w:h="15840" w:code="1"/>
          <w:pgMar w:top="1440" w:right="1440" w:bottom="1440" w:left="1440" w:header="706" w:footer="706" w:gutter="0"/>
          <w:cols w:space="708"/>
          <w:docGrid w:linePitch="360"/>
        </w:sectPr>
      </w:pPr>
    </w:p>
    <w:p w:rsidR="00673F0A" w:rsidRPr="00210BD3" w:rsidRDefault="00673F0A" w:rsidP="007137CC">
      <w:pPr>
        <w:spacing w:after="0" w:line="240" w:lineRule="auto"/>
        <w:rPr>
          <w:rFonts w:ascii="Times New Roman" w:hAnsi="Times New Roman" w:cs="Times New Roman"/>
          <w:b/>
          <w:bCs/>
          <w:sz w:val="26"/>
          <w:szCs w:val="26"/>
        </w:rPr>
      </w:pPr>
      <w:r w:rsidRPr="00210BD3">
        <w:rPr>
          <w:rFonts w:ascii="Times New Roman" w:hAnsi="Times New Roman" w:cs="Times New Roman"/>
          <w:b/>
          <w:bCs/>
          <w:sz w:val="26"/>
          <w:szCs w:val="26"/>
        </w:rPr>
        <w:lastRenderedPageBreak/>
        <w:t>Introduction</w:t>
      </w:r>
    </w:p>
    <w:p w:rsidR="00673F0A" w:rsidRPr="00210BD3" w:rsidRDefault="00673F0A" w:rsidP="007137CC">
      <w:pPr>
        <w:autoSpaceDE w:val="0"/>
        <w:autoSpaceDN w:val="0"/>
        <w:adjustRightInd w:val="0"/>
        <w:spacing w:after="0" w:line="240" w:lineRule="auto"/>
        <w:jc w:val="both"/>
        <w:rPr>
          <w:rFonts w:ascii="Times New Roman" w:hAnsi="Times New Roman" w:cs="Times New Roman"/>
          <w:b/>
          <w:bCs/>
          <w:sz w:val="26"/>
          <w:szCs w:val="26"/>
        </w:rPr>
      </w:pPr>
      <w:r w:rsidRPr="00210BD3">
        <w:rPr>
          <w:rFonts w:ascii="Times New Roman" w:hAnsi="Times New Roman" w:cs="Times New Roman"/>
          <w:sz w:val="26"/>
          <w:szCs w:val="26"/>
        </w:rPr>
        <w:tab/>
      </w:r>
      <w:r w:rsidR="00391D96">
        <w:rPr>
          <w:rFonts w:ascii="Times New Roman" w:hAnsi="Times New Roman" w:cs="Times New Roman"/>
          <w:sz w:val="26"/>
          <w:szCs w:val="26"/>
        </w:rPr>
        <w:tab/>
      </w:r>
      <w:r w:rsidRPr="00210BD3">
        <w:rPr>
          <w:rFonts w:ascii="Times New Roman" w:hAnsi="Times New Roman" w:cs="Times New Roman"/>
          <w:sz w:val="26"/>
          <w:szCs w:val="26"/>
        </w:rPr>
        <w:t xml:space="preserve">Good teaching is inherently linked to quality assessment, making it a crucial element in any school setting that facilitates teachers’ performance. Assessment can be thought of as the process by which knowledge or performance of an individual or group is appraised and resulting judgments are made, based on the consideration of evidence (Ministry of Education, 2011). Assessment practice gives messages both to those assessing and those being assessed.Quality assessment practices need to include a consideration of the ‘fitness for purpose’ of an assessment task/activity as well as consideration of the characteristics of the learners themselves, so that best choices are made regarding the nature and timing of assessment </w:t>
      </w:r>
      <w:r w:rsidRPr="00210BD3">
        <w:rPr>
          <w:rFonts w:ascii="Times New Roman" w:hAnsi="Times New Roman" w:cs="Times New Roman"/>
          <w:color w:val="333333"/>
          <w:sz w:val="26"/>
          <w:szCs w:val="26"/>
          <w:shd w:val="clear" w:color="auto" w:fill="FFFFFF"/>
        </w:rPr>
        <w:t>(</w:t>
      </w:r>
      <w:r w:rsidRPr="00210BD3">
        <w:rPr>
          <w:rFonts w:ascii="Times New Roman" w:hAnsi="Times New Roman" w:cs="Times New Roman"/>
          <w:sz w:val="26"/>
          <w:szCs w:val="26"/>
          <w:shd w:val="clear" w:color="auto" w:fill="FFFFFF"/>
        </w:rPr>
        <w:t>Kholid &amp; Rohmatika, 2019</w:t>
      </w:r>
      <w:r w:rsidRPr="00210BD3">
        <w:rPr>
          <w:rFonts w:ascii="Times New Roman" w:hAnsi="Times New Roman" w:cs="Times New Roman"/>
          <w:color w:val="333333"/>
          <w:sz w:val="26"/>
          <w:szCs w:val="26"/>
          <w:shd w:val="clear" w:color="auto" w:fill="FFFFFF"/>
        </w:rPr>
        <w:t>)</w:t>
      </w:r>
      <w:r w:rsidRPr="00210BD3">
        <w:rPr>
          <w:rFonts w:ascii="Times New Roman" w:hAnsi="Times New Roman" w:cs="Times New Roman"/>
          <w:sz w:val="26"/>
          <w:szCs w:val="26"/>
        </w:rPr>
        <w:t>. Doing this well allows for the confident use of assessment data by teachers in their decision making. Okeme and Bishie-Unung (2015) noted that to be able to develop an instrument to measure the psychomotor objectives require some competences on the part of the lecturers. This in turn leads to the improvement of current and future teaching and learning. Quality assessment of teachers could be carried out through supervision and evaluation of teachers.</w:t>
      </w:r>
    </w:p>
    <w:p w:rsidR="00673F0A" w:rsidRPr="00210BD3" w:rsidRDefault="00673F0A" w:rsidP="007137CC">
      <w:pPr>
        <w:autoSpaceDE w:val="0"/>
        <w:autoSpaceDN w:val="0"/>
        <w:adjustRightInd w:val="0"/>
        <w:spacing w:after="0" w:line="240" w:lineRule="auto"/>
        <w:jc w:val="both"/>
        <w:rPr>
          <w:rFonts w:ascii="Times New Roman" w:hAnsi="Times New Roman" w:cs="Times New Roman"/>
          <w:color w:val="333333"/>
          <w:sz w:val="26"/>
          <w:szCs w:val="26"/>
          <w:shd w:val="clear" w:color="auto" w:fill="FFFFFF"/>
        </w:rPr>
      </w:pPr>
      <w:r w:rsidRPr="00210BD3">
        <w:rPr>
          <w:rFonts w:ascii="Times New Roman" w:hAnsi="Times New Roman" w:cs="Times New Roman"/>
          <w:sz w:val="26"/>
          <w:szCs w:val="26"/>
        </w:rPr>
        <w:tab/>
      </w:r>
      <w:r w:rsidR="00391D96">
        <w:rPr>
          <w:rFonts w:ascii="Times New Roman" w:hAnsi="Times New Roman" w:cs="Times New Roman"/>
          <w:sz w:val="26"/>
          <w:szCs w:val="26"/>
        </w:rPr>
        <w:tab/>
      </w:r>
      <w:r w:rsidRPr="00210BD3">
        <w:rPr>
          <w:rFonts w:ascii="Times New Roman" w:hAnsi="Times New Roman" w:cs="Times New Roman"/>
          <w:sz w:val="26"/>
          <w:szCs w:val="26"/>
        </w:rPr>
        <w:t xml:space="preserve">Supervision is a complex service involving the provision of guidance, the coordination of workers and resources towards achieving set goals. It serves as a retrospective mechanism in management and is an integral part of the educational system. Ukeje (2012) asserted that supervision is the element of administrative process, which is concerned with effort to guide </w:t>
      </w:r>
      <w:r w:rsidRPr="00210BD3">
        <w:rPr>
          <w:rFonts w:ascii="Times New Roman" w:hAnsi="Times New Roman" w:cs="Times New Roman"/>
          <w:sz w:val="26"/>
          <w:szCs w:val="26"/>
        </w:rPr>
        <w:lastRenderedPageBreak/>
        <w:t xml:space="preserve">the day to day activities of the work group by stimulating, directing and coordinating the workers and their efforts cultivating good working personal relationship so that they all work towards means of achieving targets. </w:t>
      </w:r>
      <w:r w:rsidRPr="00210BD3">
        <w:rPr>
          <w:rFonts w:ascii="Times New Roman" w:hAnsi="Times New Roman" w:cs="Times New Roman"/>
          <w:color w:val="333333"/>
          <w:sz w:val="26"/>
          <w:szCs w:val="26"/>
          <w:shd w:val="clear" w:color="auto" w:fill="FFFFFF"/>
        </w:rPr>
        <w:t>In essence, supervision does not aim to inspect or evaluate the teachers’ performance but it moves its direction into a technical process which is aiming for the continual teachers’ development (</w:t>
      </w:r>
      <w:r w:rsidRPr="00210BD3">
        <w:rPr>
          <w:rFonts w:ascii="Times New Roman" w:hAnsi="Times New Roman" w:cs="Times New Roman"/>
          <w:sz w:val="26"/>
          <w:szCs w:val="26"/>
          <w:shd w:val="clear" w:color="auto" w:fill="FFFFFF"/>
        </w:rPr>
        <w:t>Ahmad &amp; Farley, 2013</w:t>
      </w:r>
      <w:r w:rsidRPr="00210BD3">
        <w:rPr>
          <w:rFonts w:ascii="Times New Roman" w:hAnsi="Times New Roman" w:cs="Times New Roman"/>
          <w:color w:val="333333"/>
          <w:sz w:val="26"/>
          <w:szCs w:val="26"/>
          <w:shd w:val="clear" w:color="auto" w:fill="FFFFFF"/>
        </w:rPr>
        <w:t>). </w:t>
      </w:r>
      <w:r w:rsidRPr="00210BD3">
        <w:rPr>
          <w:rFonts w:ascii="Times New Roman" w:hAnsi="Times New Roman" w:cs="Times New Roman"/>
          <w:sz w:val="26"/>
          <w:szCs w:val="26"/>
          <w:shd w:val="clear" w:color="auto" w:fill="FFFFFF"/>
        </w:rPr>
        <w:t xml:space="preserve">This implies that </w:t>
      </w:r>
      <w:r w:rsidRPr="00210BD3">
        <w:rPr>
          <w:rFonts w:ascii="Times New Roman" w:hAnsi="Times New Roman" w:cs="Times New Roman"/>
          <w:color w:val="333333"/>
          <w:sz w:val="26"/>
          <w:szCs w:val="26"/>
          <w:shd w:val="clear" w:color="auto" w:fill="FFFFFF"/>
        </w:rPr>
        <w:t xml:space="preserve">supervision has changed from inspection to school-based collaborative process that aims in improving instruction. It is a form of guidance for teachers to enhance their teaching skills through various methods such as classroom visits, educational workshops, seminars, and training courses which help to meet teachers’ needs. </w:t>
      </w:r>
    </w:p>
    <w:p w:rsidR="00673F0A" w:rsidRPr="00210BD3" w:rsidRDefault="00673F0A" w:rsidP="007137CC">
      <w:pPr>
        <w:autoSpaceDE w:val="0"/>
        <w:autoSpaceDN w:val="0"/>
        <w:adjustRightInd w:val="0"/>
        <w:spacing w:after="0" w:line="240" w:lineRule="auto"/>
        <w:jc w:val="both"/>
        <w:rPr>
          <w:rFonts w:ascii="Times New Roman" w:hAnsi="Times New Roman" w:cs="Times New Roman"/>
          <w:color w:val="333333"/>
          <w:sz w:val="26"/>
          <w:szCs w:val="26"/>
          <w:shd w:val="clear" w:color="auto" w:fill="FFFFFF"/>
        </w:rPr>
      </w:pPr>
      <w:r w:rsidRPr="00210BD3">
        <w:rPr>
          <w:rFonts w:ascii="Times New Roman" w:hAnsi="Times New Roman" w:cs="Times New Roman"/>
          <w:color w:val="333333"/>
          <w:sz w:val="26"/>
          <w:szCs w:val="26"/>
          <w:shd w:val="clear" w:color="auto" w:fill="FFFFFF"/>
        </w:rPr>
        <w:tab/>
      </w:r>
      <w:r w:rsidR="00391D96">
        <w:rPr>
          <w:rFonts w:ascii="Times New Roman" w:hAnsi="Times New Roman" w:cs="Times New Roman"/>
          <w:color w:val="333333"/>
          <w:sz w:val="26"/>
          <w:szCs w:val="26"/>
          <w:shd w:val="clear" w:color="auto" w:fill="FFFFFF"/>
        </w:rPr>
        <w:tab/>
      </w:r>
      <w:r w:rsidRPr="00210BD3">
        <w:rPr>
          <w:rFonts w:ascii="Times New Roman" w:hAnsi="Times New Roman" w:cs="Times New Roman"/>
          <w:color w:val="333333"/>
          <w:sz w:val="26"/>
          <w:szCs w:val="26"/>
          <w:shd w:val="clear" w:color="auto" w:fill="FFFFFF"/>
        </w:rPr>
        <w:t xml:space="preserve">Besides, </w:t>
      </w:r>
      <w:r w:rsidRPr="00210BD3">
        <w:rPr>
          <w:rFonts w:ascii="Times New Roman" w:hAnsi="Times New Roman" w:cs="Times New Roman"/>
          <w:sz w:val="26"/>
          <w:szCs w:val="26"/>
          <w:shd w:val="clear" w:color="auto" w:fill="FFFFFF"/>
        </w:rPr>
        <w:t>Kholid and Rohmatika (2019</w:t>
      </w:r>
      <w:r w:rsidRPr="00210BD3">
        <w:rPr>
          <w:rFonts w:ascii="Times New Roman" w:hAnsi="Times New Roman" w:cs="Times New Roman"/>
          <w:color w:val="333333"/>
          <w:sz w:val="26"/>
          <w:szCs w:val="26"/>
          <w:shd w:val="clear" w:color="auto" w:fill="FFFFFF"/>
        </w:rPr>
        <w:t>) claim that supervision has the capability to improve classroom practices and lead to students’ success by improving teachers’ professional growth and their work performance. Supervision provides equal importance to students and teachers by having constant interaction between the supervisor and the teacher to improve teaching and learning processes (</w:t>
      </w:r>
      <w:r w:rsidRPr="00210BD3">
        <w:rPr>
          <w:rFonts w:ascii="Times New Roman" w:hAnsi="Times New Roman" w:cs="Times New Roman"/>
          <w:sz w:val="26"/>
          <w:szCs w:val="26"/>
          <w:shd w:val="clear" w:color="auto" w:fill="FFFFFF"/>
        </w:rPr>
        <w:t>Baffour-Awuah, 2011</w:t>
      </w:r>
      <w:r w:rsidRPr="00210BD3">
        <w:rPr>
          <w:rFonts w:ascii="Times New Roman" w:hAnsi="Times New Roman" w:cs="Times New Roman"/>
          <w:color w:val="333333"/>
          <w:sz w:val="26"/>
          <w:szCs w:val="26"/>
          <w:shd w:val="clear" w:color="auto" w:fill="FFFFFF"/>
        </w:rPr>
        <w:t xml:space="preserve">). </w:t>
      </w:r>
      <w:r w:rsidRPr="00210BD3">
        <w:rPr>
          <w:rFonts w:ascii="Times New Roman" w:hAnsi="Times New Roman" w:cs="Times New Roman"/>
          <w:sz w:val="26"/>
          <w:szCs w:val="26"/>
        </w:rPr>
        <w:t xml:space="preserve">Ikegbusi and Eziamaka (2016) identified two types of supervision as internal and external supervision. Internal supervision he said is carried out by the school administrators (headmaster/assistant headmaster or principal/vice principal), while government and delegated agents conduct the external supervision. Supervisory practice caters for the needed quality in organisation. Baffour </w:t>
      </w:r>
      <w:r w:rsidRPr="00210BD3">
        <w:rPr>
          <w:rFonts w:ascii="Times New Roman" w:hAnsi="Times New Roman" w:cs="Times New Roman"/>
          <w:sz w:val="26"/>
          <w:szCs w:val="26"/>
        </w:rPr>
        <w:lastRenderedPageBreak/>
        <w:t xml:space="preserve">(2011) explained that supervision incorporates checking, inquiry, fact-finding, keeping watch, survey, correction, prevention, inspiration, guidance, direction, diagnosis, and leadership which are geared towards improving instruction. This means that a low quality supervisor-subordinate relationship is more likely to be associated with an employee’s perceived lack of legitimacy of performance appraisal. It also suggests that personnel supervisory practices enhance the relationships flow of information, and personnel job performances. It also provides them with useful guidelines, advice and tips to perform their duties diligently. In order to ascertain the extent of activities performed by teachers, evaluation sets in.    </w:t>
      </w:r>
    </w:p>
    <w:p w:rsidR="00673F0A" w:rsidRPr="00210BD3" w:rsidRDefault="00673F0A" w:rsidP="007137CC">
      <w:pPr>
        <w:autoSpaceDE w:val="0"/>
        <w:autoSpaceDN w:val="0"/>
        <w:adjustRightInd w:val="0"/>
        <w:spacing w:after="0" w:line="240" w:lineRule="auto"/>
        <w:jc w:val="both"/>
        <w:rPr>
          <w:rFonts w:ascii="Times New Roman" w:hAnsi="Times New Roman" w:cs="Times New Roman"/>
          <w:color w:val="000000"/>
          <w:sz w:val="26"/>
          <w:szCs w:val="26"/>
        </w:rPr>
      </w:pPr>
      <w:r w:rsidRPr="00210BD3">
        <w:rPr>
          <w:rFonts w:ascii="Times New Roman" w:hAnsi="Times New Roman" w:cs="Times New Roman"/>
          <w:sz w:val="26"/>
          <w:szCs w:val="26"/>
        </w:rPr>
        <w:tab/>
      </w:r>
      <w:r w:rsidR="00391D96">
        <w:rPr>
          <w:rFonts w:ascii="Times New Roman" w:hAnsi="Times New Roman" w:cs="Times New Roman"/>
          <w:sz w:val="26"/>
          <w:szCs w:val="26"/>
        </w:rPr>
        <w:tab/>
      </w:r>
      <w:r w:rsidRPr="00210BD3">
        <w:rPr>
          <w:rFonts w:ascii="Times New Roman" w:hAnsi="Times New Roman" w:cs="Times New Roman"/>
          <w:sz w:val="26"/>
          <w:szCs w:val="26"/>
        </w:rPr>
        <w:t xml:space="preserve">Staff evaluation as quality assessment practice is a formal process of measuring teachers’ jobs related behaviours and outcome. Undie, Ewuru and Enenwan (2013) it is a strategy of managing an educational organization in order that every aspect of teaching and learning process is implemented; the purpose of  which is to ensure the avoidance of costly mistakes by carrying out certain activities such as setting attainable standards for a process, organizing work so that they are achieved, documenting the procedures required, communicating them to all concerned, utilizing resources, monitoring and reviewing the attainment of standards. </w:t>
      </w:r>
      <w:r w:rsidRPr="00210BD3">
        <w:rPr>
          <w:rFonts w:ascii="Times New Roman" w:hAnsi="Times New Roman" w:cs="Times New Roman"/>
          <w:color w:val="202124"/>
          <w:sz w:val="26"/>
          <w:szCs w:val="26"/>
          <w:shd w:val="clear" w:color="auto" w:fill="FFFFFF"/>
        </w:rPr>
        <w:t>Organisation for Economic Co-operation and Development</w:t>
      </w:r>
      <w:r w:rsidRPr="00210BD3">
        <w:rPr>
          <w:rFonts w:ascii="Times New Roman" w:hAnsi="Times New Roman" w:cs="Times New Roman"/>
          <w:bCs/>
          <w:sz w:val="26"/>
          <w:szCs w:val="26"/>
        </w:rPr>
        <w:t xml:space="preserve"> (2018) submitted that t</w:t>
      </w:r>
      <w:r w:rsidRPr="00210BD3">
        <w:rPr>
          <w:rFonts w:ascii="Times New Roman" w:hAnsi="Times New Roman" w:cs="Times New Roman"/>
          <w:color w:val="000000"/>
          <w:sz w:val="26"/>
          <w:szCs w:val="26"/>
        </w:rPr>
        <w:t xml:space="preserve">eacher evaluation typically has two major purposes. </w:t>
      </w:r>
      <w:r w:rsidRPr="00210BD3">
        <w:rPr>
          <w:rFonts w:ascii="Times New Roman" w:hAnsi="Times New Roman" w:cs="Times New Roman"/>
          <w:iCs/>
          <w:color w:val="000000"/>
          <w:sz w:val="26"/>
          <w:szCs w:val="26"/>
        </w:rPr>
        <w:t>First</w:t>
      </w:r>
      <w:r w:rsidRPr="00210BD3">
        <w:rPr>
          <w:rFonts w:ascii="Times New Roman" w:hAnsi="Times New Roman" w:cs="Times New Roman"/>
          <w:color w:val="000000"/>
          <w:sz w:val="26"/>
          <w:szCs w:val="26"/>
        </w:rPr>
        <w:t xml:space="preserve">, it seeks to improve the teacher own practice by identifying strengths and </w:t>
      </w:r>
      <w:r w:rsidRPr="00210BD3">
        <w:rPr>
          <w:rFonts w:ascii="Times New Roman" w:hAnsi="Times New Roman" w:cs="Times New Roman"/>
          <w:color w:val="000000"/>
          <w:sz w:val="26"/>
          <w:szCs w:val="26"/>
        </w:rPr>
        <w:lastRenderedPageBreak/>
        <w:t xml:space="preserve">weaknesses for further professional development, </w:t>
      </w:r>
      <w:r w:rsidRPr="00210BD3">
        <w:rPr>
          <w:rFonts w:ascii="Times New Roman" w:hAnsi="Times New Roman" w:cs="Times New Roman"/>
          <w:i/>
          <w:iCs/>
          <w:color w:val="000000"/>
          <w:sz w:val="26"/>
          <w:szCs w:val="26"/>
        </w:rPr>
        <w:t xml:space="preserve">i.e. </w:t>
      </w:r>
      <w:r w:rsidRPr="00210BD3">
        <w:rPr>
          <w:rFonts w:ascii="Times New Roman" w:hAnsi="Times New Roman" w:cs="Times New Roman"/>
          <w:color w:val="000000"/>
          <w:sz w:val="26"/>
          <w:szCs w:val="26"/>
        </w:rPr>
        <w:t xml:space="preserve">the improvement function. It involves helping teachers learn about, reflect on, and adjust their practice. </w:t>
      </w:r>
      <w:r w:rsidRPr="00210BD3">
        <w:rPr>
          <w:rFonts w:ascii="Times New Roman" w:hAnsi="Times New Roman" w:cs="Times New Roman"/>
          <w:iCs/>
          <w:color w:val="000000"/>
          <w:sz w:val="26"/>
          <w:szCs w:val="26"/>
        </w:rPr>
        <w:t>Second</w:t>
      </w:r>
      <w:r w:rsidRPr="00210BD3">
        <w:rPr>
          <w:rFonts w:ascii="Times New Roman" w:hAnsi="Times New Roman" w:cs="Times New Roman"/>
          <w:color w:val="000000"/>
          <w:sz w:val="26"/>
          <w:szCs w:val="26"/>
        </w:rPr>
        <w:t xml:space="preserve">, it is aimed at holding teachers accountable for their performance in enhancing student learning, </w:t>
      </w:r>
      <w:r w:rsidRPr="00210BD3">
        <w:rPr>
          <w:rFonts w:ascii="Times New Roman" w:hAnsi="Times New Roman" w:cs="Times New Roman"/>
          <w:i/>
          <w:iCs/>
          <w:color w:val="000000"/>
          <w:sz w:val="26"/>
          <w:szCs w:val="26"/>
        </w:rPr>
        <w:t xml:space="preserve">i.e. </w:t>
      </w:r>
      <w:r w:rsidRPr="00210BD3">
        <w:rPr>
          <w:rFonts w:ascii="Times New Roman" w:hAnsi="Times New Roman" w:cs="Times New Roman"/>
          <w:color w:val="000000"/>
          <w:sz w:val="26"/>
          <w:szCs w:val="26"/>
        </w:rPr>
        <w:t xml:space="preserve">the accountability function. It typically entails performance-based career advancement and or salaries, bonus pay, or the possibility of sanctions for underperformance and usually involves evaluating performance at nodal points in a teacher’s career. </w:t>
      </w:r>
    </w:p>
    <w:p w:rsidR="00673F0A" w:rsidRPr="00210BD3" w:rsidRDefault="00673F0A" w:rsidP="007137CC">
      <w:pPr>
        <w:autoSpaceDE w:val="0"/>
        <w:autoSpaceDN w:val="0"/>
        <w:adjustRightInd w:val="0"/>
        <w:spacing w:after="0" w:line="240" w:lineRule="auto"/>
        <w:jc w:val="both"/>
        <w:rPr>
          <w:rFonts w:ascii="Times New Roman" w:hAnsi="Times New Roman" w:cs="Times New Roman"/>
          <w:color w:val="000000"/>
          <w:sz w:val="26"/>
          <w:szCs w:val="26"/>
        </w:rPr>
      </w:pPr>
      <w:r w:rsidRPr="00210BD3">
        <w:rPr>
          <w:rFonts w:ascii="Times New Roman" w:hAnsi="Times New Roman" w:cs="Times New Roman"/>
          <w:color w:val="000000"/>
          <w:sz w:val="26"/>
          <w:szCs w:val="26"/>
        </w:rPr>
        <w:tab/>
      </w:r>
      <w:r w:rsidR="00391D96">
        <w:rPr>
          <w:rFonts w:ascii="Times New Roman" w:hAnsi="Times New Roman" w:cs="Times New Roman"/>
          <w:color w:val="000000"/>
          <w:sz w:val="26"/>
          <w:szCs w:val="26"/>
        </w:rPr>
        <w:tab/>
      </w:r>
      <w:r w:rsidRPr="00210BD3">
        <w:rPr>
          <w:rFonts w:ascii="Times New Roman" w:hAnsi="Times New Roman" w:cs="Times New Roman"/>
          <w:color w:val="202124"/>
          <w:sz w:val="26"/>
          <w:szCs w:val="26"/>
          <w:shd w:val="clear" w:color="auto" w:fill="FFFFFF"/>
        </w:rPr>
        <w:t>Organisation for Economic Co-operation and Development </w:t>
      </w:r>
      <w:r w:rsidRPr="00210BD3">
        <w:rPr>
          <w:rFonts w:ascii="Times New Roman" w:hAnsi="Times New Roman" w:cs="Times New Roman"/>
          <w:bCs/>
          <w:sz w:val="26"/>
          <w:szCs w:val="26"/>
        </w:rPr>
        <w:t>(2018) noted that c</w:t>
      </w:r>
      <w:r w:rsidRPr="00210BD3">
        <w:rPr>
          <w:rFonts w:ascii="Times New Roman" w:hAnsi="Times New Roman" w:cs="Times New Roman"/>
          <w:color w:val="000000"/>
          <w:sz w:val="26"/>
          <w:szCs w:val="26"/>
        </w:rPr>
        <w:t xml:space="preserve">ombining both the improvement and accountability functions into a single teacher evaluation process raises difficult challenges. When the evaluation is oriented towards the improvement of practice within schools, teachers are typically open and willing to reveal their self-identified weaknesses, in the expectation that conveying that information will lead to more effective decisions on developmental needs and training. However, when teachers are confronted with potential consequences of evaluation on their career and salary, the inclination to reveal weaker aspects of performance is reduced, </w:t>
      </w:r>
      <w:r w:rsidRPr="00210BD3">
        <w:rPr>
          <w:rFonts w:ascii="Times New Roman" w:hAnsi="Times New Roman" w:cs="Times New Roman"/>
          <w:i/>
          <w:iCs/>
          <w:color w:val="000000"/>
          <w:sz w:val="26"/>
          <w:szCs w:val="26"/>
        </w:rPr>
        <w:t xml:space="preserve">i.e. </w:t>
      </w:r>
      <w:r w:rsidRPr="00210BD3">
        <w:rPr>
          <w:rFonts w:ascii="Times New Roman" w:hAnsi="Times New Roman" w:cs="Times New Roman"/>
          <w:color w:val="000000"/>
          <w:sz w:val="26"/>
          <w:szCs w:val="26"/>
        </w:rPr>
        <w:t>the improvement function may be jeopardized. In practice, countries rarely use a pure form of teacher evaluation model but rather a unique combination that integrates multiple purposes and methodologies.</w:t>
      </w:r>
    </w:p>
    <w:p w:rsidR="00673F0A" w:rsidRPr="00210BD3" w:rsidRDefault="00673F0A" w:rsidP="007137CC">
      <w:pPr>
        <w:autoSpaceDE w:val="0"/>
        <w:autoSpaceDN w:val="0"/>
        <w:adjustRightInd w:val="0"/>
        <w:spacing w:after="0" w:line="240" w:lineRule="auto"/>
        <w:jc w:val="both"/>
        <w:rPr>
          <w:rFonts w:ascii="Times New Roman" w:hAnsi="Times New Roman" w:cs="Times New Roman"/>
          <w:color w:val="333333"/>
          <w:sz w:val="26"/>
          <w:szCs w:val="26"/>
          <w:shd w:val="clear" w:color="auto" w:fill="FFFFFF"/>
        </w:rPr>
      </w:pPr>
      <w:r w:rsidRPr="00210BD3">
        <w:rPr>
          <w:rFonts w:ascii="Times New Roman" w:hAnsi="Times New Roman" w:cs="Times New Roman"/>
          <w:color w:val="333333"/>
          <w:sz w:val="26"/>
          <w:szCs w:val="26"/>
          <w:shd w:val="clear" w:color="auto" w:fill="FFFFFF"/>
        </w:rPr>
        <w:tab/>
      </w:r>
      <w:r w:rsidR="00391D96">
        <w:rPr>
          <w:rFonts w:ascii="Times New Roman" w:hAnsi="Times New Roman" w:cs="Times New Roman"/>
          <w:color w:val="333333"/>
          <w:sz w:val="26"/>
          <w:szCs w:val="26"/>
          <w:shd w:val="clear" w:color="auto" w:fill="FFFFFF"/>
        </w:rPr>
        <w:tab/>
      </w:r>
      <w:r w:rsidRPr="00210BD3">
        <w:rPr>
          <w:rFonts w:ascii="Times New Roman" w:hAnsi="Times New Roman" w:cs="Times New Roman"/>
          <w:color w:val="333333"/>
          <w:sz w:val="26"/>
          <w:szCs w:val="26"/>
          <w:shd w:val="clear" w:color="auto" w:fill="FFFFFF"/>
        </w:rPr>
        <w:t xml:space="preserve">A quantitative study conducted by Kazi et al. (2020) aim at determining the relationships between supervision and teachers’ performance and attitude in secondary schools in </w:t>
      </w:r>
      <w:r w:rsidRPr="00210BD3">
        <w:rPr>
          <w:rFonts w:ascii="Times New Roman" w:hAnsi="Times New Roman" w:cs="Times New Roman"/>
          <w:color w:val="333333"/>
          <w:sz w:val="26"/>
          <w:szCs w:val="26"/>
          <w:shd w:val="clear" w:color="auto" w:fill="FFFFFF"/>
        </w:rPr>
        <w:lastRenderedPageBreak/>
        <w:t xml:space="preserve">Kuala Lumpur, Malaysia employed descriptive and inferential statistics to used to analyze data collected. Kazi et al reported that supervisory practices are not correlated with teachers’ performance and attitude but, directive supervision is positively and significantly related to teachers’ performance and attitude. </w:t>
      </w:r>
      <w:r w:rsidRPr="00210BD3">
        <w:rPr>
          <w:rFonts w:ascii="Times New Roman" w:hAnsi="Times New Roman" w:cs="Times New Roman"/>
          <w:sz w:val="26"/>
          <w:szCs w:val="26"/>
        </w:rPr>
        <w:t>Outcomes of supervision and evaluation of teacher performance can also be used to determine career advancement, award performance rewards or establish sanctions for underperforming teachers. It constitutes an opportunity to recognise and reward teaching competence and performance, which is essential to retain effective teachers in schools as well as to make teaching an attractive career choice.</w:t>
      </w:r>
    </w:p>
    <w:p w:rsidR="00391D96" w:rsidRDefault="00391D96" w:rsidP="007137CC">
      <w:pPr>
        <w:autoSpaceDE w:val="0"/>
        <w:autoSpaceDN w:val="0"/>
        <w:adjustRightInd w:val="0"/>
        <w:spacing w:after="0" w:line="240" w:lineRule="auto"/>
        <w:jc w:val="both"/>
        <w:rPr>
          <w:rFonts w:ascii="Times New Roman" w:hAnsi="Times New Roman" w:cs="Times New Roman"/>
          <w:b/>
          <w:bCs/>
          <w:sz w:val="26"/>
          <w:szCs w:val="26"/>
        </w:rPr>
      </w:pPr>
    </w:p>
    <w:p w:rsidR="00673F0A" w:rsidRPr="00210BD3" w:rsidRDefault="00673F0A" w:rsidP="007137CC">
      <w:pPr>
        <w:autoSpaceDE w:val="0"/>
        <w:autoSpaceDN w:val="0"/>
        <w:adjustRightInd w:val="0"/>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Statement of the Problem</w:t>
      </w:r>
    </w:p>
    <w:p w:rsidR="00673F0A" w:rsidRPr="00210BD3" w:rsidRDefault="00673F0A"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The poor job performance of teachers is a global phenomenon that cannot be ignored. The job of a teacher is to teach and facilitate learning that could influence students’ achievement. It has been observed by the researcher that most teachers in Cross River State seem to be exhibiting contrary disposition to teaching. The teachers have been alleged to be ineffective in several ways. Some teachers appear not to demonstrate the knowledge and mastery of their subject despite their qualification and years of teaching experience, some seem not being able to communicate and teach using approved new technologies there by failing to focus on the task of teaching and learning of their subject during available minute of instructional time. </w:t>
      </w:r>
    </w:p>
    <w:p w:rsidR="00673F0A" w:rsidRPr="00210BD3" w:rsidRDefault="00673F0A" w:rsidP="007137CC">
      <w:pPr>
        <w:autoSpaceDE w:val="0"/>
        <w:autoSpaceDN w:val="0"/>
        <w:adjustRightInd w:val="0"/>
        <w:spacing w:after="0"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 xml:space="preserve">Furthermore, the poor performance of teachers appear to have </w:t>
      </w:r>
      <w:r w:rsidRPr="00210BD3">
        <w:rPr>
          <w:rFonts w:ascii="Times New Roman" w:hAnsi="Times New Roman" w:cs="Times New Roman"/>
          <w:sz w:val="26"/>
          <w:szCs w:val="26"/>
        </w:rPr>
        <w:lastRenderedPageBreak/>
        <w:t xml:space="preserve">caused several problems for the secondary schools such as: poor school image, students and parents dissatisfaction with the school, students drop out/ attrition intentions, cost of hiring new staff, poor quality of students among others. This situation in secondary schools in the study area may become a burden on all the stakeholders in education in the nearest future if not addressed. </w:t>
      </w:r>
    </w:p>
    <w:p w:rsidR="00673F0A" w:rsidRPr="00210BD3" w:rsidRDefault="00673F0A" w:rsidP="007137CC">
      <w:pPr>
        <w:autoSpaceDE w:val="0"/>
        <w:autoSpaceDN w:val="0"/>
        <w:adjustRightInd w:val="0"/>
        <w:spacing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t>Consequently, it isthat the quality of Business Studies teachers is not properly assessed to provide adequate feedbacks for prompt decision making in secondary schools. Hence the need for this study to determine the extent to which quality assessment practices predicts job performance of Business Educators in secondary schools in Cross River State.</w:t>
      </w:r>
    </w:p>
    <w:p w:rsidR="00673F0A" w:rsidRPr="00210BD3" w:rsidRDefault="00673F0A" w:rsidP="007137CC">
      <w:pPr>
        <w:autoSpaceDE w:val="0"/>
        <w:autoSpaceDN w:val="0"/>
        <w:adjustRightInd w:val="0"/>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Objectives of the study</w:t>
      </w:r>
    </w:p>
    <w:p w:rsidR="00673F0A" w:rsidRPr="00210BD3" w:rsidRDefault="00673F0A" w:rsidP="007137CC">
      <w:pPr>
        <w:pStyle w:val="ListParagraph"/>
        <w:numPr>
          <w:ilvl w:val="0"/>
          <w:numId w:val="7"/>
        </w:numPr>
        <w:autoSpaceDE w:val="0"/>
        <w:autoSpaceDN w:val="0"/>
        <w:adjustRightInd w:val="0"/>
        <w:spacing w:before="0" w:beforeAutospacing="0" w:after="0" w:line="240" w:lineRule="auto"/>
        <w:ind w:left="0" w:hanging="720"/>
        <w:jc w:val="both"/>
        <w:rPr>
          <w:rFonts w:ascii="Times New Roman" w:hAnsi="Times New Roman"/>
          <w:sz w:val="26"/>
          <w:szCs w:val="26"/>
        </w:rPr>
      </w:pPr>
      <w:r w:rsidRPr="00210BD3">
        <w:rPr>
          <w:rFonts w:ascii="Times New Roman" w:hAnsi="Times New Roman"/>
          <w:bCs/>
          <w:sz w:val="26"/>
          <w:szCs w:val="26"/>
        </w:rPr>
        <w:t>Determined the</w:t>
      </w:r>
      <w:r w:rsidRPr="00210BD3">
        <w:rPr>
          <w:rFonts w:ascii="Times New Roman" w:hAnsi="Times New Roman"/>
          <w:sz w:val="26"/>
          <w:szCs w:val="26"/>
        </w:rPr>
        <w:t>extent to which staff supervision predicts job performance of business educators in secondary schools in Cross River State.</w:t>
      </w:r>
    </w:p>
    <w:p w:rsidR="00673F0A" w:rsidRPr="00210BD3" w:rsidRDefault="00673F0A" w:rsidP="007137CC">
      <w:pPr>
        <w:numPr>
          <w:ilvl w:val="0"/>
          <w:numId w:val="7"/>
        </w:numPr>
        <w:autoSpaceDE w:val="0"/>
        <w:autoSpaceDN w:val="0"/>
        <w:adjustRightInd w:val="0"/>
        <w:spacing w:after="0" w:line="240" w:lineRule="auto"/>
        <w:ind w:left="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Determined the extent to which staff evaluation predicts job performance of business educators in secondary schools in Cross River State. </w:t>
      </w:r>
    </w:p>
    <w:p w:rsidR="00673F0A" w:rsidRPr="00210BD3" w:rsidRDefault="00673F0A" w:rsidP="007137CC">
      <w:pPr>
        <w:autoSpaceDE w:val="0"/>
        <w:autoSpaceDN w:val="0"/>
        <w:adjustRightInd w:val="0"/>
        <w:spacing w:after="0" w:line="240" w:lineRule="auto"/>
        <w:ind w:hanging="720"/>
        <w:jc w:val="both"/>
        <w:rPr>
          <w:rFonts w:ascii="Times New Roman" w:hAnsi="Times New Roman" w:cs="Times New Roman"/>
          <w:sz w:val="26"/>
          <w:szCs w:val="26"/>
        </w:rPr>
      </w:pPr>
    </w:p>
    <w:p w:rsidR="00673F0A" w:rsidRPr="00210BD3" w:rsidRDefault="00673F0A" w:rsidP="007137CC">
      <w:pPr>
        <w:spacing w:after="0" w:line="240" w:lineRule="auto"/>
        <w:rPr>
          <w:rFonts w:ascii="Times New Roman" w:hAnsi="Times New Roman" w:cs="Times New Roman"/>
          <w:b/>
          <w:bCs/>
          <w:sz w:val="26"/>
          <w:szCs w:val="26"/>
        </w:rPr>
      </w:pPr>
      <w:r w:rsidRPr="00210BD3">
        <w:rPr>
          <w:rFonts w:ascii="Times New Roman" w:hAnsi="Times New Roman" w:cs="Times New Roman"/>
          <w:b/>
          <w:bCs/>
          <w:sz w:val="26"/>
          <w:szCs w:val="26"/>
        </w:rPr>
        <w:t>Research methods</w:t>
      </w:r>
    </w:p>
    <w:p w:rsidR="00673F0A" w:rsidRDefault="00673F0A"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ab/>
      </w:r>
      <w:r w:rsidR="00391D96">
        <w:rPr>
          <w:rFonts w:ascii="Times New Roman" w:hAnsi="Times New Roman" w:cs="Times New Roman"/>
          <w:sz w:val="26"/>
          <w:szCs w:val="26"/>
        </w:rPr>
        <w:tab/>
      </w:r>
      <w:r w:rsidRPr="00210BD3">
        <w:rPr>
          <w:rFonts w:ascii="Times New Roman" w:hAnsi="Times New Roman" w:cs="Times New Roman"/>
          <w:sz w:val="26"/>
          <w:szCs w:val="26"/>
        </w:rPr>
        <w:t xml:space="preserve">The research design that was adopted for the study was the correlation survey research design to establish the relationship between quality assessment practices and job performance of Business Educators in secondary schools in Cross River State.The population comprise of 487 Business Educator in Cross River State from which the sample of 220 was </w:t>
      </w:r>
      <w:r w:rsidRPr="00210BD3">
        <w:rPr>
          <w:rFonts w:ascii="Times New Roman" w:hAnsi="Times New Roman" w:cs="Times New Roman"/>
          <w:sz w:val="26"/>
          <w:szCs w:val="26"/>
        </w:rPr>
        <w:lastRenderedPageBreak/>
        <w:t>selected using Taro Yamen Formula. Instrument for data collection was a researcher’s structured questionnaire titled, ‘Quality Assessment and Job Performance Questionnaire (QAJPQ). The questionnaire was given to three educational specialists for face-validation.  Two of the specialists were from Department of Vocational Education, and one from Department of Curriculum Studies, all from the University of Uyo. The internal consistency of the instrument of 0.82 was determined using Cronbach Alpha Test. The researcher with the help of two research assistants administered and retrieved 220 copies of the questionnaire for data analysis. The linear regression was used to answer the research questions and to test the null hypotheses at .05 levels of significance. Decision on research questions was based on the R value and the R</w:t>
      </w:r>
      <w:r w:rsidRPr="00210BD3">
        <w:rPr>
          <w:rFonts w:ascii="Times New Roman" w:hAnsi="Times New Roman" w:cs="Times New Roman"/>
          <w:sz w:val="26"/>
          <w:szCs w:val="26"/>
          <w:vertAlign w:val="superscript"/>
        </w:rPr>
        <w:t>2</w:t>
      </w:r>
      <w:r w:rsidRPr="00210BD3">
        <w:rPr>
          <w:rFonts w:ascii="Times New Roman" w:hAnsi="Times New Roman" w:cs="Times New Roman"/>
          <w:sz w:val="26"/>
          <w:szCs w:val="26"/>
        </w:rPr>
        <w:t xml:space="preserve"> value. When the R value is greater than zero it implies that there is positive relationship between the </w:t>
      </w:r>
      <w:r w:rsidRPr="00210BD3">
        <w:rPr>
          <w:rFonts w:ascii="Times New Roman" w:hAnsi="Times New Roman" w:cs="Times New Roman"/>
          <w:sz w:val="26"/>
          <w:szCs w:val="26"/>
        </w:rPr>
        <w:lastRenderedPageBreak/>
        <w:t>independent and the dependent variable. More so, the R</w:t>
      </w:r>
      <w:r w:rsidRPr="00210BD3">
        <w:rPr>
          <w:rFonts w:ascii="Times New Roman" w:hAnsi="Times New Roman" w:cs="Times New Roman"/>
          <w:sz w:val="26"/>
          <w:szCs w:val="26"/>
          <w:vertAlign w:val="superscript"/>
        </w:rPr>
        <w:t>2</w:t>
      </w:r>
      <w:r w:rsidRPr="00210BD3">
        <w:rPr>
          <w:rFonts w:ascii="Times New Roman" w:hAnsi="Times New Roman" w:cs="Times New Roman"/>
          <w:sz w:val="26"/>
          <w:szCs w:val="26"/>
        </w:rPr>
        <w:t xml:space="preserve"> value was expressed in percentage to show the strength of linear relationship. The decision for accepting a null hypothesis was that if p &gt; .05 there is no significant relationship, which means that the hypothesis was retain, but if p&lt; .05 there is significant relationship, which implies that the hypothesis was rejected.</w:t>
      </w:r>
    </w:p>
    <w:p w:rsidR="00673F0A" w:rsidRPr="00210BD3" w:rsidRDefault="00673F0A" w:rsidP="007137CC">
      <w:pPr>
        <w:spacing w:line="240" w:lineRule="auto"/>
        <w:rPr>
          <w:rFonts w:ascii="Times New Roman" w:hAnsi="Times New Roman" w:cs="Times New Roman"/>
          <w:b/>
          <w:bCs/>
          <w:sz w:val="26"/>
          <w:szCs w:val="26"/>
        </w:rPr>
      </w:pPr>
      <w:r w:rsidRPr="00210BD3">
        <w:rPr>
          <w:rFonts w:ascii="Times New Roman" w:hAnsi="Times New Roman" w:cs="Times New Roman"/>
          <w:b/>
          <w:bCs/>
          <w:sz w:val="26"/>
          <w:szCs w:val="26"/>
        </w:rPr>
        <w:t>Results</w:t>
      </w:r>
    </w:p>
    <w:p w:rsidR="00673F0A" w:rsidRPr="00210BD3" w:rsidRDefault="00673F0A" w:rsidP="007137CC">
      <w:pPr>
        <w:tabs>
          <w:tab w:val="left" w:pos="720"/>
        </w:tabs>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Research question 1</w:t>
      </w:r>
    </w:p>
    <w:p w:rsidR="00673F0A" w:rsidRPr="00210BD3" w:rsidRDefault="00673F0A" w:rsidP="007137CC">
      <w:pPr>
        <w:tabs>
          <w:tab w:val="left" w:pos="720"/>
        </w:tabs>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To what extent does staff supervision predicts the job performance of business educators on secondary schools in Cross River State?</w:t>
      </w:r>
    </w:p>
    <w:p w:rsidR="00673F0A" w:rsidRPr="00210BD3" w:rsidRDefault="00673F0A" w:rsidP="007137CC">
      <w:pPr>
        <w:spacing w:line="240" w:lineRule="auto"/>
        <w:jc w:val="both"/>
        <w:rPr>
          <w:rFonts w:ascii="Times New Roman" w:hAnsi="Times New Roman" w:cs="Times New Roman"/>
          <w:b/>
          <w:sz w:val="26"/>
          <w:szCs w:val="26"/>
        </w:rPr>
      </w:pPr>
      <w:r w:rsidRPr="00210BD3">
        <w:rPr>
          <w:rFonts w:ascii="Times New Roman" w:hAnsi="Times New Roman" w:cs="Times New Roman"/>
          <w:sz w:val="26"/>
          <w:szCs w:val="26"/>
        </w:rPr>
        <w:t>Linear regression was used to answer this question. The data are as shown on Table 1.</w:t>
      </w:r>
    </w:p>
    <w:p w:rsidR="00673F0A" w:rsidRPr="00210BD3" w:rsidRDefault="00673F0A" w:rsidP="007137CC">
      <w:pPr>
        <w:spacing w:line="240" w:lineRule="auto"/>
        <w:ind w:hanging="1170"/>
        <w:jc w:val="both"/>
        <w:rPr>
          <w:rFonts w:ascii="Times New Roman" w:hAnsi="Times New Roman" w:cs="Times New Roman"/>
          <w:b/>
          <w:sz w:val="26"/>
          <w:szCs w:val="26"/>
        </w:rPr>
      </w:pPr>
    </w:p>
    <w:p w:rsidR="00391D96" w:rsidRDefault="00391D96" w:rsidP="007137CC">
      <w:pPr>
        <w:spacing w:line="240" w:lineRule="auto"/>
        <w:ind w:hanging="1170"/>
        <w:jc w:val="center"/>
        <w:rPr>
          <w:rFonts w:ascii="Times New Roman" w:hAnsi="Times New Roman" w:cs="Times New Roman"/>
          <w:sz w:val="26"/>
          <w:szCs w:val="26"/>
        </w:rPr>
        <w:sectPr w:rsidR="00391D96" w:rsidSect="00391D96">
          <w:type w:val="continuous"/>
          <w:pgSz w:w="12240" w:h="15840" w:code="1"/>
          <w:pgMar w:top="1440" w:right="1440" w:bottom="1440" w:left="1440" w:header="706" w:footer="706" w:gutter="0"/>
          <w:cols w:num="2" w:space="708"/>
          <w:docGrid w:linePitch="360"/>
        </w:sectPr>
      </w:pPr>
    </w:p>
    <w:p w:rsidR="00673F0A" w:rsidRPr="00210BD3" w:rsidRDefault="00673F0A" w:rsidP="007137CC">
      <w:pPr>
        <w:spacing w:line="240" w:lineRule="auto"/>
        <w:jc w:val="center"/>
        <w:rPr>
          <w:rFonts w:ascii="Times New Roman" w:hAnsi="Times New Roman" w:cs="Times New Roman"/>
          <w:sz w:val="26"/>
          <w:szCs w:val="26"/>
        </w:rPr>
      </w:pPr>
      <w:r w:rsidRPr="00210BD3">
        <w:rPr>
          <w:rFonts w:ascii="Times New Roman" w:hAnsi="Times New Roman" w:cs="Times New Roman"/>
          <w:sz w:val="26"/>
          <w:szCs w:val="26"/>
        </w:rPr>
        <w:lastRenderedPageBreak/>
        <w:t>Table 1: Regression Analysis showing the extent to which Staff Supervision predicts Job Performance of Business Educators</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2628"/>
        <w:gridCol w:w="1350"/>
        <w:gridCol w:w="990"/>
        <w:gridCol w:w="900"/>
        <w:gridCol w:w="810"/>
        <w:gridCol w:w="900"/>
        <w:gridCol w:w="1681"/>
      </w:tblGrid>
      <w:tr w:rsidR="00673F0A" w:rsidRPr="00210BD3" w:rsidTr="006D610E">
        <w:tc>
          <w:tcPr>
            <w:tcW w:w="2628" w:type="dxa"/>
            <w:tcBorders>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Variable</w:t>
            </w:r>
          </w:p>
        </w:tc>
        <w:tc>
          <w:tcPr>
            <w:tcW w:w="135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position w:val="-4"/>
                <w:sz w:val="26"/>
                <w:szCs w:val="2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59" o:title=""/>
                </v:shape>
                <o:OLEObject Type="Embed" ProgID="Equation.3" ShapeID="_x0000_i1025" DrawAspect="Content" ObjectID="_1811175608" r:id="rId60"/>
              </w:object>
            </w:r>
          </w:p>
        </w:tc>
        <w:tc>
          <w:tcPr>
            <w:tcW w:w="99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SD</w:t>
            </w:r>
          </w:p>
        </w:tc>
        <w:tc>
          <w:tcPr>
            <w:tcW w:w="90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R</w:t>
            </w:r>
          </w:p>
        </w:tc>
        <w:tc>
          <w:tcPr>
            <w:tcW w:w="810" w:type="dxa"/>
            <w:tcBorders>
              <w:left w:val="nil"/>
              <w:bottom w:val="single" w:sz="4" w:space="0" w:color="auto"/>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Df</w:t>
            </w:r>
          </w:p>
        </w:tc>
        <w:tc>
          <w:tcPr>
            <w:tcW w:w="90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R</w:t>
            </w:r>
            <w:r w:rsidRPr="00210BD3">
              <w:rPr>
                <w:rFonts w:ascii="Times New Roman" w:eastAsia="Calibri" w:hAnsi="Times New Roman" w:cs="Times New Roman"/>
                <w:b/>
                <w:sz w:val="26"/>
                <w:szCs w:val="26"/>
                <w:vertAlign w:val="superscript"/>
              </w:rPr>
              <w:t>2</w:t>
            </w:r>
          </w:p>
        </w:tc>
        <w:tc>
          <w:tcPr>
            <w:tcW w:w="1681" w:type="dxa"/>
            <w:tcBorders>
              <w:left w:val="nil"/>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b/>
                <w:sz w:val="26"/>
                <w:szCs w:val="26"/>
              </w:rPr>
            </w:pPr>
            <w:r w:rsidRPr="00210BD3">
              <w:rPr>
                <w:rFonts w:ascii="Times New Roman" w:eastAsia="Calibri" w:hAnsi="Times New Roman" w:cs="Times New Roman"/>
                <w:b/>
                <w:sz w:val="26"/>
                <w:szCs w:val="26"/>
              </w:rPr>
              <w:t>Adjusted R</w:t>
            </w:r>
          </w:p>
        </w:tc>
      </w:tr>
      <w:tr w:rsidR="00673F0A" w:rsidRPr="00210BD3" w:rsidTr="006D610E">
        <w:tc>
          <w:tcPr>
            <w:tcW w:w="2628" w:type="dxa"/>
            <w:tcBorders>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Staff Supervision</w:t>
            </w:r>
          </w:p>
        </w:tc>
        <w:tc>
          <w:tcPr>
            <w:tcW w:w="135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19.99</w:t>
            </w:r>
          </w:p>
        </w:tc>
        <w:tc>
          <w:tcPr>
            <w:tcW w:w="99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5.40</w:t>
            </w:r>
          </w:p>
        </w:tc>
        <w:tc>
          <w:tcPr>
            <w:tcW w:w="90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0.704</w:t>
            </w:r>
          </w:p>
        </w:tc>
        <w:tc>
          <w:tcPr>
            <w:tcW w:w="810" w:type="dxa"/>
            <w:tcBorders>
              <w:left w:val="nil"/>
              <w:bottom w:val="nil"/>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219</w:t>
            </w:r>
          </w:p>
        </w:tc>
        <w:tc>
          <w:tcPr>
            <w:tcW w:w="90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0.495</w:t>
            </w:r>
          </w:p>
        </w:tc>
        <w:tc>
          <w:tcPr>
            <w:tcW w:w="1681" w:type="dxa"/>
            <w:tcBorders>
              <w:left w:val="nil"/>
              <w:bottom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0.493</w:t>
            </w:r>
          </w:p>
        </w:tc>
      </w:tr>
      <w:tr w:rsidR="00673F0A" w:rsidRPr="00210BD3" w:rsidTr="006D610E">
        <w:tc>
          <w:tcPr>
            <w:tcW w:w="2628" w:type="dxa"/>
            <w:tcBorders>
              <w:top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Job Performance</w:t>
            </w:r>
          </w:p>
        </w:tc>
        <w:tc>
          <w:tcPr>
            <w:tcW w:w="135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26.43</w:t>
            </w:r>
          </w:p>
        </w:tc>
        <w:tc>
          <w:tcPr>
            <w:tcW w:w="99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6.05</w:t>
            </w:r>
          </w:p>
        </w:tc>
        <w:tc>
          <w:tcPr>
            <w:tcW w:w="90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810" w:type="dxa"/>
            <w:tcBorders>
              <w:top w:val="nil"/>
              <w:left w:val="nil"/>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90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681" w:type="dxa"/>
            <w:tcBorders>
              <w:top w:val="nil"/>
              <w:lef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bl>
    <w:p w:rsidR="00673F0A" w:rsidRPr="00210BD3" w:rsidRDefault="00673F0A" w:rsidP="007137CC">
      <w:pPr>
        <w:spacing w:before="100" w:beforeAutospacing="1" w:after="100" w:afterAutospacing="1" w:line="240" w:lineRule="auto"/>
        <w:jc w:val="both"/>
        <w:rPr>
          <w:rFonts w:ascii="Times New Roman" w:hAnsi="Times New Roman" w:cs="Times New Roman"/>
          <w:sz w:val="26"/>
          <w:szCs w:val="26"/>
        </w:rPr>
      </w:pPr>
      <w:r w:rsidRPr="00210BD3">
        <w:rPr>
          <w:rFonts w:ascii="Times New Roman" w:hAnsi="Times New Roman" w:cs="Times New Roman"/>
          <w:sz w:val="26"/>
          <w:szCs w:val="26"/>
        </w:rPr>
        <w:tab/>
        <w:t>Table 1 indicates that the R value for the strength of the relationship and R</w:t>
      </w:r>
      <w:r w:rsidRPr="00210BD3">
        <w:rPr>
          <w:rFonts w:ascii="Times New Roman" w:hAnsi="Times New Roman" w:cs="Times New Roman"/>
          <w:sz w:val="26"/>
          <w:szCs w:val="26"/>
          <w:vertAlign w:val="superscript"/>
        </w:rPr>
        <w:t xml:space="preserve">2 </w:t>
      </w:r>
      <w:r w:rsidRPr="00210BD3">
        <w:rPr>
          <w:rFonts w:ascii="Times New Roman" w:hAnsi="Times New Roman" w:cs="Times New Roman"/>
          <w:sz w:val="26"/>
          <w:szCs w:val="26"/>
        </w:rPr>
        <w:t>for determination of extent of prediction of staff supervision predict and job performance of business educators. The R value of .704 indicates a high extent of prediction between the two variables. The calculated R</w:t>
      </w:r>
      <w:r w:rsidRPr="00210BD3">
        <w:rPr>
          <w:rFonts w:ascii="Times New Roman" w:hAnsi="Times New Roman" w:cs="Times New Roman"/>
          <w:sz w:val="26"/>
          <w:szCs w:val="26"/>
          <w:vertAlign w:val="superscript"/>
        </w:rPr>
        <w:t xml:space="preserve">2 </w:t>
      </w:r>
      <w:r w:rsidRPr="00210BD3">
        <w:rPr>
          <w:rFonts w:ascii="Times New Roman" w:hAnsi="Times New Roman" w:cs="Times New Roman"/>
          <w:sz w:val="26"/>
          <w:szCs w:val="26"/>
        </w:rPr>
        <w:t xml:space="preserve">of .495 which is the coefficient of determination indicates that only 49.5% variance in job performance is predicted or explained by staff supervision. This implies that staff supervision to a high extent predicts job performance of business educators in secondary schools in Cross River State. </w:t>
      </w:r>
    </w:p>
    <w:p w:rsidR="00673F0A" w:rsidRPr="00210BD3" w:rsidRDefault="00673F0A" w:rsidP="007137CC">
      <w:pPr>
        <w:tabs>
          <w:tab w:val="left" w:pos="720"/>
        </w:tabs>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lastRenderedPageBreak/>
        <w:t>Research question 2</w:t>
      </w:r>
    </w:p>
    <w:p w:rsidR="00673F0A" w:rsidRPr="00210BD3" w:rsidRDefault="00673F0A" w:rsidP="007137CC">
      <w:pPr>
        <w:tabs>
          <w:tab w:val="left" w:pos="720"/>
        </w:tabs>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To what extent does staff evaluation predict the job performance of business educators on secondary schools in Cross River State?</w:t>
      </w:r>
    </w:p>
    <w:p w:rsidR="00673F0A" w:rsidRPr="00210BD3" w:rsidRDefault="00673F0A" w:rsidP="007137CC">
      <w:pPr>
        <w:spacing w:line="240" w:lineRule="auto"/>
        <w:jc w:val="both"/>
        <w:rPr>
          <w:rFonts w:ascii="Times New Roman" w:hAnsi="Times New Roman" w:cs="Times New Roman"/>
          <w:b/>
          <w:sz w:val="26"/>
          <w:szCs w:val="26"/>
        </w:rPr>
      </w:pPr>
      <w:r w:rsidRPr="00210BD3">
        <w:rPr>
          <w:rFonts w:ascii="Times New Roman" w:hAnsi="Times New Roman" w:cs="Times New Roman"/>
          <w:sz w:val="26"/>
          <w:szCs w:val="26"/>
        </w:rPr>
        <w:t>Linear regression was used to answer this question. The data are as shown on Table 2</w:t>
      </w:r>
    </w:p>
    <w:p w:rsidR="00673F0A" w:rsidRPr="00210BD3" w:rsidRDefault="00673F0A" w:rsidP="00822CCD">
      <w:pPr>
        <w:spacing w:line="240" w:lineRule="auto"/>
        <w:rPr>
          <w:rFonts w:ascii="Times New Roman" w:hAnsi="Times New Roman" w:cs="Times New Roman"/>
          <w:sz w:val="26"/>
          <w:szCs w:val="26"/>
        </w:rPr>
      </w:pPr>
      <w:r w:rsidRPr="00210BD3">
        <w:rPr>
          <w:rFonts w:ascii="Times New Roman" w:hAnsi="Times New Roman" w:cs="Times New Roman"/>
          <w:sz w:val="26"/>
          <w:szCs w:val="26"/>
        </w:rPr>
        <w:t>Table 2: Regression Analysis showing the extent to which Staff Evaluation predicts Job Performance of business educators</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2628"/>
        <w:gridCol w:w="1350"/>
        <w:gridCol w:w="990"/>
        <w:gridCol w:w="900"/>
        <w:gridCol w:w="810"/>
        <w:gridCol w:w="900"/>
        <w:gridCol w:w="1681"/>
      </w:tblGrid>
      <w:tr w:rsidR="00673F0A" w:rsidRPr="00210BD3" w:rsidTr="006D610E">
        <w:tc>
          <w:tcPr>
            <w:tcW w:w="2628" w:type="dxa"/>
            <w:tcBorders>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Variable</w:t>
            </w:r>
          </w:p>
        </w:tc>
        <w:tc>
          <w:tcPr>
            <w:tcW w:w="135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position w:val="-4"/>
                <w:sz w:val="26"/>
                <w:szCs w:val="26"/>
              </w:rPr>
              <w:object w:dxaOrig="260" w:dyaOrig="320">
                <v:shape id="_x0000_i1026" type="#_x0000_t75" style="width:14.5pt;height:14.5pt" o:ole="">
                  <v:imagedata r:id="rId59" o:title=""/>
                </v:shape>
                <o:OLEObject Type="Embed" ProgID="Equation.3" ShapeID="_x0000_i1026" DrawAspect="Content" ObjectID="_1811175609" r:id="rId61"/>
              </w:object>
            </w:r>
          </w:p>
        </w:tc>
        <w:tc>
          <w:tcPr>
            <w:tcW w:w="99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SD</w:t>
            </w:r>
          </w:p>
        </w:tc>
        <w:tc>
          <w:tcPr>
            <w:tcW w:w="90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w:t>
            </w:r>
          </w:p>
        </w:tc>
        <w:tc>
          <w:tcPr>
            <w:tcW w:w="810" w:type="dxa"/>
            <w:tcBorders>
              <w:left w:val="nil"/>
              <w:bottom w:val="single" w:sz="4" w:space="0" w:color="auto"/>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df</w:t>
            </w:r>
          </w:p>
        </w:tc>
        <w:tc>
          <w:tcPr>
            <w:tcW w:w="900" w:type="dxa"/>
            <w:tcBorders>
              <w:left w:val="nil"/>
              <w:bottom w:val="single" w:sz="4" w:space="0" w:color="auto"/>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w:t>
            </w:r>
            <w:r w:rsidRPr="00210BD3">
              <w:rPr>
                <w:rFonts w:ascii="Times New Roman" w:eastAsia="Calibri" w:hAnsi="Times New Roman" w:cs="Times New Roman"/>
                <w:sz w:val="26"/>
                <w:szCs w:val="26"/>
                <w:vertAlign w:val="superscript"/>
              </w:rPr>
              <w:t>2</w:t>
            </w:r>
          </w:p>
        </w:tc>
        <w:tc>
          <w:tcPr>
            <w:tcW w:w="1681" w:type="dxa"/>
            <w:tcBorders>
              <w:left w:val="nil"/>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Adjusted R</w:t>
            </w:r>
          </w:p>
        </w:tc>
      </w:tr>
      <w:tr w:rsidR="00673F0A" w:rsidRPr="00210BD3" w:rsidTr="006D610E">
        <w:tc>
          <w:tcPr>
            <w:tcW w:w="2628" w:type="dxa"/>
            <w:tcBorders>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Staff Evaluation</w:t>
            </w:r>
          </w:p>
        </w:tc>
        <w:tc>
          <w:tcPr>
            <w:tcW w:w="135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14.32</w:t>
            </w:r>
          </w:p>
        </w:tc>
        <w:tc>
          <w:tcPr>
            <w:tcW w:w="99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4.18</w:t>
            </w:r>
          </w:p>
        </w:tc>
        <w:tc>
          <w:tcPr>
            <w:tcW w:w="90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0.565</w:t>
            </w:r>
          </w:p>
        </w:tc>
        <w:tc>
          <w:tcPr>
            <w:tcW w:w="810" w:type="dxa"/>
            <w:tcBorders>
              <w:left w:val="nil"/>
              <w:bottom w:val="nil"/>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219</w:t>
            </w:r>
          </w:p>
        </w:tc>
        <w:tc>
          <w:tcPr>
            <w:tcW w:w="900" w:type="dxa"/>
            <w:tcBorders>
              <w:left w:val="nil"/>
              <w:bottom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0.319</w:t>
            </w:r>
          </w:p>
        </w:tc>
        <w:tc>
          <w:tcPr>
            <w:tcW w:w="1681" w:type="dxa"/>
            <w:tcBorders>
              <w:left w:val="nil"/>
              <w:bottom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0.316</w:t>
            </w:r>
          </w:p>
        </w:tc>
      </w:tr>
      <w:tr w:rsidR="00673F0A" w:rsidRPr="00210BD3" w:rsidTr="006D610E">
        <w:tc>
          <w:tcPr>
            <w:tcW w:w="2628" w:type="dxa"/>
            <w:tcBorders>
              <w:top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Employee Retention</w:t>
            </w:r>
          </w:p>
        </w:tc>
        <w:tc>
          <w:tcPr>
            <w:tcW w:w="135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26.43</w:t>
            </w:r>
          </w:p>
        </w:tc>
        <w:tc>
          <w:tcPr>
            <w:tcW w:w="99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6.05</w:t>
            </w:r>
          </w:p>
        </w:tc>
        <w:tc>
          <w:tcPr>
            <w:tcW w:w="90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810" w:type="dxa"/>
            <w:tcBorders>
              <w:top w:val="nil"/>
              <w:left w:val="nil"/>
              <w:right w:val="nil"/>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900" w:type="dxa"/>
            <w:tcBorders>
              <w:top w:val="nil"/>
              <w:left w:val="nil"/>
              <w:righ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681" w:type="dxa"/>
            <w:tcBorders>
              <w:top w:val="nil"/>
              <w:left w:val="nil"/>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bl>
    <w:p w:rsidR="00822CCD" w:rsidRPr="00822CCD" w:rsidRDefault="00822CCD" w:rsidP="007137CC">
      <w:pPr>
        <w:spacing w:line="240" w:lineRule="auto"/>
        <w:jc w:val="both"/>
        <w:rPr>
          <w:rFonts w:ascii="Times New Roman" w:hAnsi="Times New Roman" w:cs="Times New Roman"/>
          <w:sz w:val="14"/>
          <w:szCs w:val="26"/>
        </w:rPr>
      </w:pPr>
    </w:p>
    <w:p w:rsidR="00673F0A" w:rsidRPr="00210BD3" w:rsidRDefault="00673F0A" w:rsidP="007137CC">
      <w:pPr>
        <w:spacing w:line="240" w:lineRule="auto"/>
        <w:jc w:val="both"/>
        <w:rPr>
          <w:rFonts w:ascii="Times New Roman" w:hAnsi="Times New Roman" w:cs="Times New Roman"/>
          <w:b/>
          <w:bCs/>
          <w:sz w:val="26"/>
          <w:szCs w:val="26"/>
        </w:rPr>
      </w:pPr>
      <w:r w:rsidRPr="00210BD3">
        <w:rPr>
          <w:rFonts w:ascii="Times New Roman" w:hAnsi="Times New Roman" w:cs="Times New Roman"/>
          <w:sz w:val="26"/>
          <w:szCs w:val="26"/>
        </w:rPr>
        <w:tab/>
        <w:t>Table 2 indicates that the R value for the strength of the relationship and R</w:t>
      </w:r>
      <w:r w:rsidRPr="00210BD3">
        <w:rPr>
          <w:rFonts w:ascii="Times New Roman" w:hAnsi="Times New Roman" w:cs="Times New Roman"/>
          <w:sz w:val="26"/>
          <w:szCs w:val="26"/>
          <w:vertAlign w:val="superscript"/>
        </w:rPr>
        <w:t xml:space="preserve">2 </w:t>
      </w:r>
      <w:r w:rsidRPr="00210BD3">
        <w:rPr>
          <w:rFonts w:ascii="Times New Roman" w:hAnsi="Times New Roman" w:cs="Times New Roman"/>
          <w:sz w:val="26"/>
          <w:szCs w:val="26"/>
        </w:rPr>
        <w:t>for determination of extent of prediction of staff evaluation predict and job performance of business educators. The R value of .565 indicates a high extent of prediction between the two variables. The calculated R</w:t>
      </w:r>
      <w:r w:rsidRPr="00210BD3">
        <w:rPr>
          <w:rFonts w:ascii="Times New Roman" w:hAnsi="Times New Roman" w:cs="Times New Roman"/>
          <w:sz w:val="26"/>
          <w:szCs w:val="26"/>
          <w:vertAlign w:val="superscript"/>
        </w:rPr>
        <w:t xml:space="preserve">2 </w:t>
      </w:r>
      <w:r w:rsidRPr="00210BD3">
        <w:rPr>
          <w:rFonts w:ascii="Times New Roman" w:hAnsi="Times New Roman" w:cs="Times New Roman"/>
          <w:sz w:val="26"/>
          <w:szCs w:val="26"/>
        </w:rPr>
        <w:t>of .319 which is the coefficient of determination indicates that only 31.9% variance in job performance is predicted or explained by staff evaluation. This implies that staff evaluation to a moderate extent predicts job performance of business educators in secondary schools in Cross River State.</w:t>
      </w:r>
    </w:p>
    <w:p w:rsidR="00673F0A" w:rsidRPr="00210BD3" w:rsidRDefault="00673F0A" w:rsidP="007137CC">
      <w:pPr>
        <w:autoSpaceDE w:val="0"/>
        <w:autoSpaceDN w:val="0"/>
        <w:adjustRightInd w:val="0"/>
        <w:spacing w:line="240" w:lineRule="auto"/>
        <w:jc w:val="both"/>
        <w:rPr>
          <w:rFonts w:ascii="Times New Roman" w:hAnsi="Times New Roman" w:cs="Times New Roman"/>
          <w:bCs/>
          <w:sz w:val="26"/>
          <w:szCs w:val="26"/>
        </w:rPr>
      </w:pPr>
      <w:r w:rsidRPr="00210BD3">
        <w:rPr>
          <w:rFonts w:ascii="Times New Roman" w:hAnsi="Times New Roman" w:cs="Times New Roman"/>
          <w:bCs/>
          <w:sz w:val="26"/>
          <w:szCs w:val="26"/>
        </w:rPr>
        <w:t>Hypothesis 1</w:t>
      </w:r>
    </w:p>
    <w:p w:rsidR="00673F0A" w:rsidRPr="00210BD3" w:rsidRDefault="00673F0A" w:rsidP="007137CC">
      <w:pPr>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Staff supervision does not significantly predict job performance of business educators in Cross River State.</w:t>
      </w:r>
    </w:p>
    <w:p w:rsidR="00673F0A" w:rsidRPr="00210BD3" w:rsidRDefault="00673F0A"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Summary of results of testing Null Hypothesis 1 is presented on Table 3.</w:t>
      </w:r>
    </w:p>
    <w:p w:rsidR="00673F0A" w:rsidRPr="00210BD3" w:rsidRDefault="00673F0A" w:rsidP="00822CCD">
      <w:pPr>
        <w:spacing w:line="240" w:lineRule="auto"/>
        <w:rPr>
          <w:rFonts w:ascii="Times New Roman" w:hAnsi="Times New Roman" w:cs="Times New Roman"/>
          <w:sz w:val="26"/>
          <w:szCs w:val="26"/>
        </w:rPr>
      </w:pPr>
      <w:r w:rsidRPr="00210BD3">
        <w:rPr>
          <w:rFonts w:ascii="Times New Roman" w:hAnsi="Times New Roman" w:cs="Times New Roman"/>
          <w:sz w:val="26"/>
          <w:szCs w:val="26"/>
        </w:rPr>
        <w:t>Table 3:</w:t>
      </w:r>
      <w:r w:rsidRPr="00210BD3">
        <w:rPr>
          <w:rFonts w:ascii="Times New Roman" w:hAnsi="Times New Roman" w:cs="Times New Roman"/>
          <w:color w:val="000000"/>
          <w:sz w:val="26"/>
          <w:szCs w:val="26"/>
        </w:rPr>
        <w:t xml:space="preserve">  Regression Analysis show how</w:t>
      </w:r>
      <w:r w:rsidRPr="00210BD3">
        <w:rPr>
          <w:rFonts w:ascii="Times New Roman" w:hAnsi="Times New Roman" w:cs="Times New Roman"/>
          <w:sz w:val="26"/>
          <w:szCs w:val="26"/>
        </w:rPr>
        <w:t xml:space="preserve"> staff supervision predicts job performance of business educators</w:t>
      </w:r>
    </w:p>
    <w:tbl>
      <w:tblPr>
        <w:tblW w:w="0" w:type="auto"/>
        <w:tblBorders>
          <w:top w:val="single" w:sz="4" w:space="0" w:color="auto"/>
          <w:bottom w:val="single" w:sz="4" w:space="0" w:color="auto"/>
        </w:tblBorders>
        <w:tblLook w:val="04A0"/>
      </w:tblPr>
      <w:tblGrid>
        <w:gridCol w:w="1460"/>
        <w:gridCol w:w="1675"/>
        <w:gridCol w:w="1010"/>
        <w:gridCol w:w="1646"/>
        <w:gridCol w:w="1021"/>
        <w:gridCol w:w="1389"/>
        <w:gridCol w:w="1375"/>
      </w:tblGrid>
      <w:tr w:rsidR="00673F0A" w:rsidRPr="00210BD3" w:rsidTr="006D610E">
        <w:tc>
          <w:tcPr>
            <w:tcW w:w="1460"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Model</w:t>
            </w:r>
          </w:p>
        </w:tc>
        <w:tc>
          <w:tcPr>
            <w:tcW w:w="1675"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Sum of squares</w:t>
            </w:r>
          </w:p>
        </w:tc>
        <w:tc>
          <w:tcPr>
            <w:tcW w:w="1010"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Df</w:t>
            </w:r>
          </w:p>
        </w:tc>
        <w:tc>
          <w:tcPr>
            <w:tcW w:w="1646"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Mean square</w:t>
            </w:r>
          </w:p>
        </w:tc>
        <w:tc>
          <w:tcPr>
            <w:tcW w:w="1021"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F</w:t>
            </w:r>
          </w:p>
        </w:tc>
        <w:tc>
          <w:tcPr>
            <w:tcW w:w="1389"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Sig.</w:t>
            </w:r>
          </w:p>
        </w:tc>
        <w:tc>
          <w:tcPr>
            <w:tcW w:w="1375" w:type="dxa"/>
            <w:tcBorders>
              <w:top w:val="single" w:sz="4" w:space="0" w:color="auto"/>
              <w:bottom w:val="single" w:sz="4" w:space="0" w:color="auto"/>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Decision</w:t>
            </w:r>
          </w:p>
        </w:tc>
      </w:tr>
      <w:tr w:rsidR="00673F0A" w:rsidRPr="00210BD3" w:rsidTr="006D610E">
        <w:tc>
          <w:tcPr>
            <w:tcW w:w="1460"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Regression</w:t>
            </w:r>
          </w:p>
        </w:tc>
        <w:tc>
          <w:tcPr>
            <w:tcW w:w="1675"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4003.9</w:t>
            </w:r>
          </w:p>
        </w:tc>
        <w:tc>
          <w:tcPr>
            <w:tcW w:w="1010"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w:t>
            </w:r>
          </w:p>
        </w:tc>
        <w:tc>
          <w:tcPr>
            <w:tcW w:w="1646"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4003.9</w:t>
            </w:r>
          </w:p>
        </w:tc>
        <w:tc>
          <w:tcPr>
            <w:tcW w:w="1021"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89"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75" w:type="dxa"/>
            <w:tcBorders>
              <w:top w:val="single" w:sz="4" w:space="0" w:color="auto"/>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r w:rsidR="00673F0A" w:rsidRPr="00210BD3" w:rsidTr="006D610E">
        <w:tc>
          <w:tcPr>
            <w:tcW w:w="146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Residual </w:t>
            </w:r>
          </w:p>
        </w:tc>
        <w:tc>
          <w:tcPr>
            <w:tcW w:w="1675"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4084.4</w:t>
            </w:r>
          </w:p>
        </w:tc>
        <w:tc>
          <w:tcPr>
            <w:tcW w:w="101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218</w:t>
            </w:r>
          </w:p>
        </w:tc>
        <w:tc>
          <w:tcPr>
            <w:tcW w:w="1646"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18.6</w:t>
            </w:r>
          </w:p>
        </w:tc>
        <w:tc>
          <w:tcPr>
            <w:tcW w:w="1021"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254.8</w:t>
            </w:r>
          </w:p>
        </w:tc>
        <w:tc>
          <w:tcPr>
            <w:tcW w:w="1389"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.000</w:t>
            </w:r>
          </w:p>
        </w:tc>
        <w:tc>
          <w:tcPr>
            <w:tcW w:w="1375" w:type="dxa"/>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w:t>
            </w:r>
          </w:p>
        </w:tc>
      </w:tr>
      <w:tr w:rsidR="00673F0A" w:rsidRPr="00210BD3" w:rsidTr="006D610E">
        <w:tc>
          <w:tcPr>
            <w:tcW w:w="146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Total</w:t>
            </w:r>
          </w:p>
        </w:tc>
        <w:tc>
          <w:tcPr>
            <w:tcW w:w="1675"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8088.3</w:t>
            </w:r>
          </w:p>
        </w:tc>
        <w:tc>
          <w:tcPr>
            <w:tcW w:w="101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219</w:t>
            </w:r>
          </w:p>
        </w:tc>
        <w:tc>
          <w:tcPr>
            <w:tcW w:w="1646"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021"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89"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75" w:type="dxa"/>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bl>
    <w:p w:rsidR="00673F0A" w:rsidRPr="00210BD3" w:rsidRDefault="00673F0A" w:rsidP="007137CC">
      <w:pPr>
        <w:autoSpaceDE w:val="0"/>
        <w:autoSpaceDN w:val="0"/>
        <w:adjustRightInd w:val="0"/>
        <w:spacing w:line="240" w:lineRule="auto"/>
        <w:ind w:firstLine="540"/>
        <w:jc w:val="both"/>
        <w:rPr>
          <w:rFonts w:ascii="Times New Roman" w:hAnsi="Times New Roman" w:cs="Times New Roman"/>
          <w:sz w:val="26"/>
          <w:szCs w:val="26"/>
        </w:rPr>
      </w:pPr>
      <w:r w:rsidRPr="00210BD3">
        <w:rPr>
          <w:rFonts w:ascii="Times New Roman" w:eastAsia="Calibri" w:hAnsi="Times New Roman" w:cs="Times New Roman"/>
          <w:sz w:val="26"/>
          <w:szCs w:val="26"/>
        </w:rPr>
        <w:t>* = Significant at p&lt; .05</w:t>
      </w:r>
    </w:p>
    <w:p w:rsidR="00673F0A" w:rsidRPr="00210BD3" w:rsidRDefault="00673F0A" w:rsidP="007137CC">
      <w:pPr>
        <w:autoSpaceDE w:val="0"/>
        <w:autoSpaceDN w:val="0"/>
        <w:adjustRightInd w:val="0"/>
        <w:spacing w:line="240" w:lineRule="auto"/>
        <w:ind w:firstLine="540"/>
        <w:jc w:val="both"/>
        <w:rPr>
          <w:rFonts w:ascii="Times New Roman" w:hAnsi="Times New Roman" w:cs="Times New Roman"/>
          <w:sz w:val="26"/>
          <w:szCs w:val="26"/>
        </w:rPr>
      </w:pPr>
      <w:r w:rsidRPr="00210BD3">
        <w:rPr>
          <w:rFonts w:ascii="Times New Roman" w:hAnsi="Times New Roman" w:cs="Times New Roman"/>
          <w:sz w:val="26"/>
          <w:szCs w:val="26"/>
        </w:rPr>
        <w:lastRenderedPageBreak/>
        <w:t>The analysis in Table 3 shows the F-value is 254.8 and the p-value (.000) is less than the level of significance (.05) at 219 degree of freedom. This implies that staff supervision significantly predicts the job performance of business educators in Cross River State. Therefore, the null hypothesis which stated that staff supervision does not significantly predict the job performance of business educators in Cross River State is rejected.</w:t>
      </w:r>
    </w:p>
    <w:p w:rsidR="00673F0A" w:rsidRPr="007137CC" w:rsidRDefault="00673F0A" w:rsidP="007137CC">
      <w:pPr>
        <w:autoSpaceDE w:val="0"/>
        <w:autoSpaceDN w:val="0"/>
        <w:adjustRightInd w:val="0"/>
        <w:spacing w:after="0" w:line="240" w:lineRule="auto"/>
        <w:jc w:val="both"/>
        <w:rPr>
          <w:rFonts w:ascii="Times New Roman" w:hAnsi="Times New Roman" w:cs="Times New Roman"/>
          <w:b/>
          <w:bCs/>
          <w:sz w:val="26"/>
          <w:szCs w:val="26"/>
        </w:rPr>
      </w:pPr>
      <w:r w:rsidRPr="007137CC">
        <w:rPr>
          <w:rFonts w:ascii="Times New Roman" w:hAnsi="Times New Roman" w:cs="Times New Roman"/>
          <w:b/>
          <w:bCs/>
          <w:sz w:val="26"/>
          <w:szCs w:val="26"/>
        </w:rPr>
        <w:t>Hypothesis 2</w:t>
      </w:r>
    </w:p>
    <w:p w:rsidR="00673F0A" w:rsidRPr="00210BD3" w:rsidRDefault="00673F0A" w:rsidP="007137CC">
      <w:pPr>
        <w:autoSpaceDE w:val="0"/>
        <w:autoSpaceDN w:val="0"/>
        <w:adjustRightInd w:val="0"/>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Staff evaluation does not significantly predict job performance of business educators in Cross River State.</w:t>
      </w:r>
    </w:p>
    <w:p w:rsidR="00673F0A" w:rsidRPr="00210BD3" w:rsidRDefault="00673F0A"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Summary of results of testing Null Hypothesis 2 is presented on Table 4.</w:t>
      </w:r>
    </w:p>
    <w:p w:rsidR="00673F0A" w:rsidRPr="00210BD3" w:rsidRDefault="00673F0A" w:rsidP="007137CC">
      <w:pPr>
        <w:spacing w:line="240" w:lineRule="auto"/>
        <w:jc w:val="center"/>
        <w:rPr>
          <w:rFonts w:ascii="Times New Roman" w:hAnsi="Times New Roman" w:cs="Times New Roman"/>
          <w:sz w:val="26"/>
          <w:szCs w:val="26"/>
        </w:rPr>
      </w:pPr>
      <w:r w:rsidRPr="00210BD3">
        <w:rPr>
          <w:rFonts w:ascii="Times New Roman" w:hAnsi="Times New Roman" w:cs="Times New Roman"/>
          <w:sz w:val="26"/>
          <w:szCs w:val="26"/>
        </w:rPr>
        <w:t>Table 4:</w:t>
      </w:r>
      <w:r w:rsidRPr="00210BD3">
        <w:rPr>
          <w:rFonts w:ascii="Times New Roman" w:hAnsi="Times New Roman" w:cs="Times New Roman"/>
          <w:color w:val="000000"/>
          <w:sz w:val="26"/>
          <w:szCs w:val="26"/>
        </w:rPr>
        <w:t xml:space="preserve"> Regression Analysis show how</w:t>
      </w:r>
      <w:r w:rsidRPr="00210BD3">
        <w:rPr>
          <w:rFonts w:ascii="Times New Roman" w:hAnsi="Times New Roman" w:cs="Times New Roman"/>
          <w:sz w:val="26"/>
          <w:szCs w:val="26"/>
        </w:rPr>
        <w:t xml:space="preserve"> staff evaluation predicts job performance of</w:t>
      </w:r>
    </w:p>
    <w:p w:rsidR="00673F0A" w:rsidRPr="00210BD3" w:rsidRDefault="00673F0A" w:rsidP="007137CC">
      <w:pPr>
        <w:spacing w:line="240" w:lineRule="auto"/>
        <w:ind w:hanging="1170"/>
        <w:jc w:val="center"/>
        <w:rPr>
          <w:rFonts w:ascii="Times New Roman" w:hAnsi="Times New Roman" w:cs="Times New Roman"/>
          <w:sz w:val="26"/>
          <w:szCs w:val="26"/>
        </w:rPr>
      </w:pPr>
      <w:r w:rsidRPr="00210BD3">
        <w:rPr>
          <w:rFonts w:ascii="Times New Roman" w:hAnsi="Times New Roman" w:cs="Times New Roman"/>
          <w:sz w:val="26"/>
          <w:szCs w:val="26"/>
        </w:rPr>
        <w:t>business educators</w:t>
      </w:r>
    </w:p>
    <w:tbl>
      <w:tblPr>
        <w:tblW w:w="0" w:type="auto"/>
        <w:tblBorders>
          <w:top w:val="single" w:sz="4" w:space="0" w:color="auto"/>
          <w:bottom w:val="single" w:sz="4" w:space="0" w:color="auto"/>
        </w:tblBorders>
        <w:tblLook w:val="04A0"/>
      </w:tblPr>
      <w:tblGrid>
        <w:gridCol w:w="1460"/>
        <w:gridCol w:w="1978"/>
        <w:gridCol w:w="707"/>
        <w:gridCol w:w="1646"/>
        <w:gridCol w:w="1021"/>
        <w:gridCol w:w="1389"/>
        <w:gridCol w:w="1375"/>
      </w:tblGrid>
      <w:tr w:rsidR="00673F0A" w:rsidRPr="00210BD3" w:rsidTr="006D610E">
        <w:tc>
          <w:tcPr>
            <w:tcW w:w="1460"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Model</w:t>
            </w:r>
          </w:p>
        </w:tc>
        <w:tc>
          <w:tcPr>
            <w:tcW w:w="1978"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Sum of squares</w:t>
            </w:r>
          </w:p>
        </w:tc>
        <w:tc>
          <w:tcPr>
            <w:tcW w:w="707"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Df</w:t>
            </w:r>
          </w:p>
        </w:tc>
        <w:tc>
          <w:tcPr>
            <w:tcW w:w="1646"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Mean square</w:t>
            </w:r>
          </w:p>
        </w:tc>
        <w:tc>
          <w:tcPr>
            <w:tcW w:w="1021"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F</w:t>
            </w:r>
          </w:p>
        </w:tc>
        <w:tc>
          <w:tcPr>
            <w:tcW w:w="1389" w:type="dxa"/>
            <w:tcBorders>
              <w:top w:val="single" w:sz="4" w:space="0" w:color="auto"/>
              <w:bottom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Sig.</w:t>
            </w:r>
          </w:p>
        </w:tc>
        <w:tc>
          <w:tcPr>
            <w:tcW w:w="1375" w:type="dxa"/>
            <w:tcBorders>
              <w:top w:val="single" w:sz="4" w:space="0" w:color="auto"/>
              <w:bottom w:val="single" w:sz="4" w:space="0" w:color="auto"/>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Decision</w:t>
            </w:r>
          </w:p>
        </w:tc>
      </w:tr>
      <w:tr w:rsidR="00673F0A" w:rsidRPr="00210BD3" w:rsidTr="006D610E">
        <w:tc>
          <w:tcPr>
            <w:tcW w:w="1460"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Regression</w:t>
            </w:r>
          </w:p>
        </w:tc>
        <w:tc>
          <w:tcPr>
            <w:tcW w:w="1978"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2583.2</w:t>
            </w:r>
          </w:p>
        </w:tc>
        <w:tc>
          <w:tcPr>
            <w:tcW w:w="707"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w:t>
            </w:r>
          </w:p>
        </w:tc>
        <w:tc>
          <w:tcPr>
            <w:tcW w:w="1646"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2583.2</w:t>
            </w:r>
          </w:p>
        </w:tc>
        <w:tc>
          <w:tcPr>
            <w:tcW w:w="1021"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89" w:type="dxa"/>
            <w:tcBorders>
              <w:top w:val="single" w:sz="4" w:space="0" w:color="auto"/>
            </w:tcBorders>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75" w:type="dxa"/>
            <w:tcBorders>
              <w:top w:val="single" w:sz="4" w:space="0" w:color="auto"/>
            </w:tcBorders>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r w:rsidR="00673F0A" w:rsidRPr="00210BD3" w:rsidTr="006D610E">
        <w:tc>
          <w:tcPr>
            <w:tcW w:w="146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Residual </w:t>
            </w:r>
          </w:p>
        </w:tc>
        <w:tc>
          <w:tcPr>
            <w:tcW w:w="1978"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5505.1</w:t>
            </w:r>
          </w:p>
        </w:tc>
        <w:tc>
          <w:tcPr>
            <w:tcW w:w="707"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220</w:t>
            </w:r>
          </w:p>
        </w:tc>
        <w:tc>
          <w:tcPr>
            <w:tcW w:w="1646"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25.0</w:t>
            </w:r>
          </w:p>
        </w:tc>
        <w:tc>
          <w:tcPr>
            <w:tcW w:w="1021"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103.2</w:t>
            </w:r>
          </w:p>
        </w:tc>
        <w:tc>
          <w:tcPr>
            <w:tcW w:w="1389"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.000</w:t>
            </w:r>
          </w:p>
        </w:tc>
        <w:tc>
          <w:tcPr>
            <w:tcW w:w="1375" w:type="dxa"/>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w:t>
            </w:r>
          </w:p>
        </w:tc>
      </w:tr>
      <w:tr w:rsidR="00673F0A" w:rsidRPr="00210BD3" w:rsidTr="006D610E">
        <w:tc>
          <w:tcPr>
            <w:tcW w:w="1460"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Total</w:t>
            </w:r>
          </w:p>
        </w:tc>
        <w:tc>
          <w:tcPr>
            <w:tcW w:w="1978"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8088.3</w:t>
            </w:r>
          </w:p>
        </w:tc>
        <w:tc>
          <w:tcPr>
            <w:tcW w:w="707"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221</w:t>
            </w:r>
          </w:p>
        </w:tc>
        <w:tc>
          <w:tcPr>
            <w:tcW w:w="1646"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021"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89" w:type="dxa"/>
            <w:shd w:val="clear" w:color="auto" w:fill="auto"/>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c>
          <w:tcPr>
            <w:tcW w:w="1375" w:type="dxa"/>
          </w:tcPr>
          <w:p w:rsidR="00673F0A" w:rsidRPr="00210BD3" w:rsidRDefault="00673F0A" w:rsidP="007137CC">
            <w:pPr>
              <w:autoSpaceDE w:val="0"/>
              <w:autoSpaceDN w:val="0"/>
              <w:adjustRightInd w:val="0"/>
              <w:spacing w:line="240" w:lineRule="auto"/>
              <w:jc w:val="both"/>
              <w:rPr>
                <w:rFonts w:ascii="Times New Roman" w:eastAsia="Calibri" w:hAnsi="Times New Roman" w:cs="Times New Roman"/>
                <w:sz w:val="26"/>
                <w:szCs w:val="26"/>
              </w:rPr>
            </w:pPr>
          </w:p>
        </w:tc>
      </w:tr>
    </w:tbl>
    <w:p w:rsidR="00673F0A" w:rsidRPr="00210BD3" w:rsidRDefault="00673F0A" w:rsidP="007137CC">
      <w:pPr>
        <w:autoSpaceDE w:val="0"/>
        <w:autoSpaceDN w:val="0"/>
        <w:adjustRightInd w:val="0"/>
        <w:spacing w:line="240" w:lineRule="auto"/>
        <w:ind w:firstLine="540"/>
        <w:jc w:val="both"/>
        <w:rPr>
          <w:rFonts w:ascii="Times New Roman" w:hAnsi="Times New Roman" w:cs="Times New Roman"/>
          <w:sz w:val="26"/>
          <w:szCs w:val="26"/>
        </w:rPr>
      </w:pPr>
      <w:r w:rsidRPr="00210BD3">
        <w:rPr>
          <w:rFonts w:ascii="Times New Roman" w:eastAsia="Calibri" w:hAnsi="Times New Roman" w:cs="Times New Roman"/>
          <w:sz w:val="26"/>
          <w:szCs w:val="26"/>
        </w:rPr>
        <w:t>* = Significant at p&lt; .05</w:t>
      </w:r>
    </w:p>
    <w:p w:rsidR="007137CC" w:rsidRDefault="00673F0A" w:rsidP="007137CC">
      <w:pPr>
        <w:autoSpaceDE w:val="0"/>
        <w:autoSpaceDN w:val="0"/>
        <w:adjustRightInd w:val="0"/>
        <w:spacing w:line="240" w:lineRule="auto"/>
        <w:ind w:firstLine="540"/>
        <w:jc w:val="both"/>
        <w:rPr>
          <w:rFonts w:ascii="Times New Roman" w:hAnsi="Times New Roman" w:cs="Times New Roman"/>
          <w:sz w:val="26"/>
          <w:szCs w:val="26"/>
        </w:rPr>
        <w:sectPr w:rsidR="007137CC" w:rsidSect="00210BD3">
          <w:type w:val="continuous"/>
          <w:pgSz w:w="12240" w:h="15840" w:code="1"/>
          <w:pgMar w:top="1440" w:right="1440" w:bottom="1440" w:left="1440" w:header="706" w:footer="706" w:gutter="0"/>
          <w:cols w:space="708"/>
          <w:docGrid w:linePitch="360"/>
        </w:sectPr>
      </w:pPr>
      <w:r w:rsidRPr="00210BD3">
        <w:rPr>
          <w:rFonts w:ascii="Times New Roman" w:hAnsi="Times New Roman" w:cs="Times New Roman"/>
          <w:sz w:val="26"/>
          <w:szCs w:val="26"/>
        </w:rPr>
        <w:t xml:space="preserve">The analysis in Table 4 shows the F-value is 103.2 and the p-value (.000) is less </w:t>
      </w:r>
    </w:p>
    <w:p w:rsidR="00673F0A" w:rsidRPr="00210BD3" w:rsidRDefault="00673F0A" w:rsidP="007137CC">
      <w:pPr>
        <w:autoSpaceDE w:val="0"/>
        <w:autoSpaceDN w:val="0"/>
        <w:adjustRightInd w:val="0"/>
        <w:spacing w:line="240" w:lineRule="auto"/>
        <w:ind w:firstLine="540"/>
        <w:jc w:val="both"/>
        <w:rPr>
          <w:rFonts w:ascii="Times New Roman" w:hAnsi="Times New Roman" w:cs="Times New Roman"/>
          <w:sz w:val="26"/>
          <w:szCs w:val="26"/>
        </w:rPr>
      </w:pPr>
      <w:r w:rsidRPr="00210BD3">
        <w:rPr>
          <w:rFonts w:ascii="Times New Roman" w:hAnsi="Times New Roman" w:cs="Times New Roman"/>
          <w:sz w:val="26"/>
          <w:szCs w:val="26"/>
        </w:rPr>
        <w:lastRenderedPageBreak/>
        <w:t>than the level of significance (.05) at 221 degree of freedom. This implies that staff evaluation significantly predicts the job performance of business educators in Cross River State. Therefore, the null hypothesis which stated that staff evaluation does not significantly predict the job performance of business educators in Cross River State is rejected.</w:t>
      </w:r>
    </w:p>
    <w:p w:rsidR="00673F0A" w:rsidRPr="00210BD3" w:rsidRDefault="00673F0A" w:rsidP="007137CC">
      <w:pPr>
        <w:tabs>
          <w:tab w:val="left" w:pos="3486"/>
        </w:tabs>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Discussion of Findings</w:t>
      </w:r>
      <w:r w:rsidR="007137CC">
        <w:rPr>
          <w:rFonts w:ascii="Times New Roman" w:hAnsi="Times New Roman" w:cs="Times New Roman"/>
          <w:b/>
          <w:bCs/>
          <w:sz w:val="26"/>
          <w:szCs w:val="26"/>
        </w:rPr>
        <w:tab/>
      </w:r>
    </w:p>
    <w:p w:rsidR="00673F0A" w:rsidRPr="00210BD3" w:rsidRDefault="00673F0A" w:rsidP="007137CC">
      <w:pPr>
        <w:spacing w:after="0"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Findings of the study indicated that staff supervision significantly predicts the job performance of Business educators in secondary schools in Cross River State. This means that supervision practices triggers Business Studies </w:t>
      </w:r>
      <w:r w:rsidRPr="00210BD3">
        <w:rPr>
          <w:rFonts w:ascii="Times New Roman" w:hAnsi="Times New Roman" w:cs="Times New Roman"/>
          <w:sz w:val="26"/>
          <w:szCs w:val="26"/>
        </w:rPr>
        <w:lastRenderedPageBreak/>
        <w:t xml:space="preserve">teachers to ensure that the work is done as required. It provides insight into how best the curriculum could be implemented using best and professional practices thereby fostering the attainment of the institutional goals. Supervision helps Business educators overcome pertinent challenges in the teaching learning process as well as the school environment that could hamper positive outputs, while improving on their skills. The findings agree with the opinion of </w:t>
      </w:r>
      <w:r w:rsidRPr="00210BD3">
        <w:rPr>
          <w:rFonts w:ascii="Times New Roman" w:hAnsi="Times New Roman" w:cs="Times New Roman"/>
          <w:sz w:val="26"/>
          <w:szCs w:val="26"/>
          <w:shd w:val="clear" w:color="auto" w:fill="FFFFFF"/>
        </w:rPr>
        <w:t>Kholid and Rohmatika (2019</w:t>
      </w:r>
      <w:r w:rsidRPr="00210BD3">
        <w:rPr>
          <w:rFonts w:ascii="Times New Roman" w:hAnsi="Times New Roman" w:cs="Times New Roman"/>
          <w:color w:val="333333"/>
          <w:sz w:val="26"/>
          <w:szCs w:val="26"/>
          <w:shd w:val="clear" w:color="auto" w:fill="FFFFFF"/>
        </w:rPr>
        <w:t xml:space="preserve">) who claimed that supervision has the capability to improve classroom practices and lead to student success by improving teachers’ professional growth </w:t>
      </w:r>
      <w:r w:rsidRPr="00210BD3">
        <w:rPr>
          <w:rFonts w:ascii="Times New Roman" w:hAnsi="Times New Roman" w:cs="Times New Roman"/>
          <w:color w:val="333333"/>
          <w:sz w:val="26"/>
          <w:szCs w:val="26"/>
          <w:shd w:val="clear" w:color="auto" w:fill="FFFFFF"/>
        </w:rPr>
        <w:lastRenderedPageBreak/>
        <w:t>and their work performance.</w:t>
      </w:r>
      <w:r w:rsidRPr="00210BD3">
        <w:rPr>
          <w:rFonts w:ascii="Times New Roman" w:hAnsi="Times New Roman" w:cs="Times New Roman"/>
          <w:sz w:val="26"/>
          <w:szCs w:val="26"/>
        </w:rPr>
        <w:t xml:space="preserve"> Finding of the study also agrees with the findings of </w:t>
      </w:r>
      <w:r w:rsidRPr="00210BD3">
        <w:rPr>
          <w:rFonts w:ascii="Times New Roman" w:hAnsi="Times New Roman" w:cs="Times New Roman"/>
          <w:color w:val="333333"/>
          <w:sz w:val="26"/>
          <w:szCs w:val="26"/>
          <w:shd w:val="clear" w:color="auto" w:fill="FFFFFF"/>
        </w:rPr>
        <w:t xml:space="preserve">Kazi </w:t>
      </w:r>
      <w:r w:rsidRPr="00210BD3">
        <w:rPr>
          <w:rFonts w:ascii="Times New Roman" w:hAnsi="Times New Roman" w:cs="Times New Roman"/>
          <w:i/>
          <w:color w:val="333333"/>
          <w:sz w:val="26"/>
          <w:szCs w:val="26"/>
          <w:shd w:val="clear" w:color="auto" w:fill="FFFFFF"/>
        </w:rPr>
        <w:t>et al</w:t>
      </w:r>
      <w:r w:rsidRPr="00210BD3">
        <w:rPr>
          <w:rFonts w:ascii="Times New Roman" w:hAnsi="Times New Roman" w:cs="Times New Roman"/>
          <w:color w:val="333333"/>
          <w:sz w:val="26"/>
          <w:szCs w:val="26"/>
          <w:shd w:val="clear" w:color="auto" w:fill="FFFFFF"/>
        </w:rPr>
        <w:t>. (2020) reported that supervisory practices are not correlated with teachers’ performance and attitude but, directive supervision is positively and significantly related to teachers’ performance and attitude.</w:t>
      </w:r>
      <w:r w:rsidRPr="00210BD3">
        <w:rPr>
          <w:rFonts w:ascii="Times New Roman" w:hAnsi="Times New Roman" w:cs="Times New Roman"/>
          <w:sz w:val="26"/>
          <w:szCs w:val="26"/>
        </w:rPr>
        <w:t xml:space="preserve"> The finding is in-line with the findings of Raigama (2010) who reported that human resource management practices (for example staff supervision practice) are significant predictors of employee satisfaction, commitment and retention.</w:t>
      </w:r>
    </w:p>
    <w:p w:rsidR="00673F0A" w:rsidRPr="00210BD3" w:rsidRDefault="00673F0A"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ab/>
        <w:t xml:space="preserve">Findings of the study indicated that staff evaluation significantly predicts the job performance of Business educators in secondary schools in Cross River State. The findings may be due to the fact that evaluation of teachers guides in decision making on job placement, teachers skills and development planning for improved performance. Where teachers are not evaluated the extent to which the curriculum would be implemented cannot be ascertain. Furthermore, since evaluation practices are mostly used for appraisal of teachers, teachers are intrinsically motivated to improve on their performance for quality appraisal, promotion, appointment and recommendations. The findings is in consonance with the findings of Adekoya, Biodun, Oluseye and Kingsley (2014) who reported that a very strong and positive relationship between performance appraisal and employee productivity. The finding of this study is also in consonance with the findings of Moses and Geoffrey (2015) which reported a significant relationship </w:t>
      </w:r>
      <w:r w:rsidRPr="00210BD3">
        <w:rPr>
          <w:rFonts w:ascii="Times New Roman" w:hAnsi="Times New Roman" w:cs="Times New Roman"/>
          <w:sz w:val="26"/>
          <w:szCs w:val="26"/>
        </w:rPr>
        <w:lastRenderedPageBreak/>
        <w:t xml:space="preserve">between performance appraisal and worker’s performance. </w:t>
      </w:r>
    </w:p>
    <w:p w:rsidR="00673F0A" w:rsidRPr="00210BD3" w:rsidRDefault="00673F0A"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Conclusion</w:t>
      </w:r>
    </w:p>
    <w:p w:rsidR="00673F0A" w:rsidRPr="00210BD3" w:rsidRDefault="007137CC" w:rsidP="007137CC">
      <w:pPr>
        <w:tabs>
          <w:tab w:val="left" w:pos="630"/>
        </w:tabs>
        <w:spacing w:line="240" w:lineRule="auto"/>
        <w:jc w:val="both"/>
        <w:rPr>
          <w:rFonts w:ascii="Times New Roman" w:hAnsi="Times New Roman" w:cs="Times New Roman"/>
          <w:b/>
          <w:bCs/>
          <w:sz w:val="26"/>
          <w:szCs w:val="26"/>
        </w:rPr>
      </w:pPr>
      <w:r>
        <w:rPr>
          <w:rFonts w:ascii="Times New Roman" w:hAnsi="Times New Roman" w:cs="Times New Roman"/>
          <w:sz w:val="26"/>
          <w:szCs w:val="26"/>
        </w:rPr>
        <w:tab/>
      </w:r>
      <w:r w:rsidR="00673F0A" w:rsidRPr="00210BD3">
        <w:rPr>
          <w:rFonts w:ascii="Times New Roman" w:hAnsi="Times New Roman" w:cs="Times New Roman"/>
          <w:sz w:val="26"/>
          <w:szCs w:val="26"/>
        </w:rPr>
        <w:t>Quality assessment is crucial and should remain a vital index for promoting and sustaining the performance of teachers in secondary schools. On the basis of the findings of this study and discussion of same, it was concluded that quality assessment of supervision and evaluation significantly predicts the job performance of Business Educators in Cross River State. Thus, strategic approaches should be improvised to ensuring quality assessment of teachers is instituted if the job performance of Business Educators must be improved in Cross River State.</w:t>
      </w:r>
    </w:p>
    <w:p w:rsidR="00673F0A" w:rsidRPr="00210BD3" w:rsidRDefault="00673F0A"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Recommendations</w:t>
      </w:r>
    </w:p>
    <w:p w:rsidR="00673F0A" w:rsidRPr="00210BD3" w:rsidRDefault="00673F0A" w:rsidP="00822CCD">
      <w:pPr>
        <w:spacing w:after="0" w:line="240" w:lineRule="auto"/>
        <w:ind w:firstLine="720"/>
        <w:jc w:val="both"/>
        <w:rPr>
          <w:rFonts w:ascii="Times New Roman" w:hAnsi="Times New Roman" w:cs="Times New Roman"/>
          <w:bCs/>
          <w:sz w:val="26"/>
          <w:szCs w:val="26"/>
        </w:rPr>
      </w:pPr>
      <w:r w:rsidRPr="00210BD3">
        <w:rPr>
          <w:rFonts w:ascii="Times New Roman" w:hAnsi="Times New Roman" w:cs="Times New Roman"/>
          <w:bCs/>
          <w:sz w:val="26"/>
          <w:szCs w:val="26"/>
        </w:rPr>
        <w:t>The following recommendations are made in-line with the findings of the study:</w:t>
      </w:r>
    </w:p>
    <w:p w:rsidR="00673F0A" w:rsidRPr="00210BD3" w:rsidRDefault="00673F0A" w:rsidP="007137CC">
      <w:pPr>
        <w:pStyle w:val="ListParagraph"/>
        <w:numPr>
          <w:ilvl w:val="0"/>
          <w:numId w:val="8"/>
        </w:numPr>
        <w:spacing w:before="0" w:beforeAutospacing="0" w:after="0" w:line="240" w:lineRule="auto"/>
        <w:ind w:left="0" w:hanging="720"/>
        <w:jc w:val="both"/>
        <w:rPr>
          <w:rFonts w:ascii="Times New Roman" w:hAnsi="Times New Roman"/>
          <w:bCs/>
          <w:sz w:val="26"/>
          <w:szCs w:val="26"/>
        </w:rPr>
      </w:pPr>
      <w:r w:rsidRPr="00210BD3">
        <w:rPr>
          <w:rFonts w:ascii="Times New Roman" w:hAnsi="Times New Roman"/>
          <w:bCs/>
          <w:sz w:val="26"/>
          <w:szCs w:val="26"/>
        </w:rPr>
        <w:t>Ministry of Education should train supervisors and evaluators on novel and pragmatic approach to motivating and maintaining a friendly climate while assessing teachers in order to guide job performance improvement process among teachers.</w:t>
      </w:r>
    </w:p>
    <w:p w:rsidR="00673F0A" w:rsidRPr="00210BD3" w:rsidRDefault="00673F0A" w:rsidP="007137CC">
      <w:pPr>
        <w:pStyle w:val="ListParagraph"/>
        <w:numPr>
          <w:ilvl w:val="0"/>
          <w:numId w:val="8"/>
        </w:numPr>
        <w:spacing w:before="0" w:beforeAutospacing="0" w:after="0" w:line="240" w:lineRule="auto"/>
        <w:ind w:left="0" w:hanging="720"/>
        <w:jc w:val="both"/>
        <w:rPr>
          <w:rFonts w:ascii="Times New Roman" w:hAnsi="Times New Roman"/>
          <w:bCs/>
          <w:sz w:val="26"/>
          <w:szCs w:val="26"/>
        </w:rPr>
      </w:pPr>
      <w:r w:rsidRPr="00210BD3">
        <w:rPr>
          <w:rFonts w:ascii="Times New Roman" w:hAnsi="Times New Roman"/>
          <w:bCs/>
          <w:sz w:val="26"/>
          <w:szCs w:val="26"/>
        </w:rPr>
        <w:t>School Administrators should ensure that decisions taken in the school system are based on feedbacks from supervision and evaluation results. Taking decisions without adequate research and findings should be avoided.</w:t>
      </w:r>
    </w:p>
    <w:p w:rsidR="00673F0A" w:rsidRPr="00210BD3" w:rsidRDefault="00673F0A" w:rsidP="007137CC">
      <w:pPr>
        <w:pStyle w:val="ListParagraph"/>
        <w:numPr>
          <w:ilvl w:val="0"/>
          <w:numId w:val="8"/>
        </w:numPr>
        <w:spacing w:before="0" w:beforeAutospacing="0" w:after="0" w:line="240" w:lineRule="auto"/>
        <w:ind w:left="0" w:hanging="720"/>
        <w:jc w:val="both"/>
        <w:rPr>
          <w:rFonts w:ascii="Times New Roman" w:hAnsi="Times New Roman"/>
          <w:bCs/>
          <w:sz w:val="26"/>
          <w:szCs w:val="26"/>
        </w:rPr>
      </w:pPr>
      <w:r w:rsidRPr="00210BD3">
        <w:rPr>
          <w:rFonts w:ascii="Times New Roman" w:hAnsi="Times New Roman"/>
          <w:bCs/>
          <w:sz w:val="26"/>
          <w:szCs w:val="26"/>
        </w:rPr>
        <w:t>Business Studies teachers should work cooperatively with supervisors and evaluators as team in progress as this would help in solving pertinent problems in the education system.</w:t>
      </w:r>
    </w:p>
    <w:p w:rsidR="007137CC" w:rsidRPr="007137CC" w:rsidRDefault="007137CC" w:rsidP="007137CC">
      <w:pPr>
        <w:spacing w:line="240" w:lineRule="auto"/>
        <w:jc w:val="both"/>
        <w:rPr>
          <w:rFonts w:ascii="Times New Roman" w:hAnsi="Times New Roman" w:cs="Times New Roman"/>
          <w:b/>
          <w:bCs/>
          <w:szCs w:val="26"/>
        </w:rPr>
      </w:pPr>
    </w:p>
    <w:p w:rsidR="007137CC" w:rsidRDefault="007137CC" w:rsidP="007137CC">
      <w:pPr>
        <w:spacing w:line="240" w:lineRule="auto"/>
        <w:rPr>
          <w:rFonts w:ascii="Times New Roman" w:hAnsi="Times New Roman" w:cs="Times New Roman"/>
          <w:b/>
          <w:bCs/>
          <w:sz w:val="26"/>
          <w:szCs w:val="26"/>
        </w:rPr>
        <w:sectPr w:rsidR="007137CC" w:rsidSect="007137CC">
          <w:type w:val="continuous"/>
          <w:pgSz w:w="12240" w:h="15840" w:code="1"/>
          <w:pgMar w:top="1440" w:right="1440" w:bottom="1440" w:left="1440" w:header="706" w:footer="706" w:gutter="0"/>
          <w:cols w:num="2" w:space="708"/>
          <w:docGrid w:linePitch="360"/>
        </w:sectPr>
      </w:pPr>
    </w:p>
    <w:p w:rsidR="00673F0A" w:rsidRPr="00210BD3" w:rsidRDefault="00673F0A" w:rsidP="007137CC">
      <w:pPr>
        <w:spacing w:line="240" w:lineRule="auto"/>
        <w:rPr>
          <w:rFonts w:ascii="Times New Roman" w:hAnsi="Times New Roman" w:cs="Times New Roman"/>
          <w:b/>
          <w:bCs/>
          <w:sz w:val="26"/>
          <w:szCs w:val="26"/>
        </w:rPr>
      </w:pPr>
      <w:r w:rsidRPr="00210BD3">
        <w:rPr>
          <w:rFonts w:ascii="Times New Roman" w:hAnsi="Times New Roman" w:cs="Times New Roman"/>
          <w:b/>
          <w:bCs/>
          <w:sz w:val="26"/>
          <w:szCs w:val="26"/>
        </w:rPr>
        <w:lastRenderedPageBreak/>
        <w:t>References</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Abell, S. K., and Siegel, M. A. (2011). Assessment literacy: what science teachers need to know and be able to do.</w:t>
      </w:r>
      <w:r w:rsidRPr="00822CCD">
        <w:rPr>
          <w:rFonts w:ascii="Times New Roman" w:hAnsi="Times New Roman" w:cs="Times New Roman"/>
          <w:color w:val="000000" w:themeColor="text1"/>
          <w:sz w:val="25"/>
          <w:szCs w:val="25"/>
          <w:u w:val="single"/>
        </w:rPr>
        <w:t>In</w:t>
      </w:r>
      <w:r w:rsidRPr="00822CCD">
        <w:rPr>
          <w:rFonts w:ascii="Times New Roman" w:hAnsi="Times New Roman" w:cs="Times New Roman"/>
          <w:color w:val="000000" w:themeColor="text1"/>
          <w:sz w:val="25"/>
          <w:szCs w:val="25"/>
        </w:rPr>
        <w:t xml:space="preserve"> D. Corrigan, J. Dillon, &amp; R. Gunstone (Eds.).</w:t>
      </w:r>
      <w:r w:rsidRPr="00822CCD">
        <w:rPr>
          <w:rFonts w:ascii="Times New Roman" w:hAnsi="Times New Roman" w:cs="Times New Roman"/>
          <w:i/>
          <w:iCs/>
          <w:color w:val="000000" w:themeColor="text1"/>
          <w:sz w:val="25"/>
          <w:szCs w:val="25"/>
        </w:rPr>
        <w:t xml:space="preserve">The professional knowledge base of science teaching </w:t>
      </w:r>
      <w:r w:rsidRPr="00822CCD">
        <w:rPr>
          <w:rFonts w:ascii="Times New Roman" w:hAnsi="Times New Roman" w:cs="Times New Roman"/>
          <w:color w:val="000000" w:themeColor="text1"/>
          <w:sz w:val="25"/>
          <w:szCs w:val="25"/>
        </w:rPr>
        <w:t>(pp. 205–221). Dordrecht: Springer.</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Adekoya, A., Biodun, O., Oluseye, S. and Kingsley, K. (2014).The impact of performance appraisal on employees’ productivity in the Nigerian banking industry.</w:t>
      </w:r>
      <w:r w:rsidRPr="00822CCD">
        <w:rPr>
          <w:rFonts w:ascii="Times New Roman" w:hAnsi="Times New Roman" w:cs="Times New Roman"/>
          <w:i/>
          <w:iCs/>
          <w:color w:val="000000" w:themeColor="text1"/>
          <w:sz w:val="25"/>
          <w:szCs w:val="25"/>
        </w:rPr>
        <w:t xml:space="preserve">European Journal of Business and Management, </w:t>
      </w:r>
      <w:r w:rsidRPr="00822CCD">
        <w:rPr>
          <w:rFonts w:ascii="Times New Roman" w:hAnsi="Times New Roman" w:cs="Times New Roman"/>
          <w:color w:val="000000" w:themeColor="text1"/>
          <w:sz w:val="25"/>
          <w:szCs w:val="25"/>
        </w:rPr>
        <w:t>6(5)</w:t>
      </w:r>
    </w:p>
    <w:p w:rsidR="00673F0A" w:rsidRPr="00822CCD" w:rsidRDefault="00673F0A" w:rsidP="00822CCD">
      <w:pPr>
        <w:spacing w:after="0" w:line="240" w:lineRule="auto"/>
        <w:ind w:left="720" w:hanging="720"/>
        <w:jc w:val="both"/>
        <w:rPr>
          <w:rFonts w:ascii="Times New Roman" w:hAnsi="Times New Roman" w:cs="Times New Roman"/>
          <w:color w:val="000000" w:themeColor="text1"/>
          <w:sz w:val="25"/>
          <w:szCs w:val="25"/>
          <w:shd w:val="clear" w:color="auto" w:fill="FFFFFF"/>
        </w:rPr>
      </w:pPr>
      <w:r w:rsidRPr="00822CCD">
        <w:rPr>
          <w:rFonts w:ascii="Times New Roman" w:hAnsi="Times New Roman" w:cs="Times New Roman"/>
          <w:color w:val="000000" w:themeColor="text1"/>
          <w:sz w:val="25"/>
          <w:szCs w:val="25"/>
          <w:shd w:val="clear" w:color="auto" w:fill="FFFFFF"/>
        </w:rPr>
        <w:t>Ahmad, A..and Farley, A. (</w:t>
      </w:r>
      <w:r w:rsidRPr="00822CCD">
        <w:rPr>
          <w:rStyle w:val="nlmyear"/>
          <w:rFonts w:ascii="Times New Roman" w:hAnsi="Times New Roman" w:cs="Times New Roman"/>
          <w:color w:val="000000" w:themeColor="text1"/>
          <w:sz w:val="25"/>
          <w:szCs w:val="25"/>
          <w:shd w:val="clear" w:color="auto" w:fill="FFFFFF"/>
        </w:rPr>
        <w:t>2013</w:t>
      </w:r>
      <w:r w:rsidRPr="00822CCD">
        <w:rPr>
          <w:rFonts w:ascii="Times New Roman" w:hAnsi="Times New Roman" w:cs="Times New Roman"/>
          <w:color w:val="000000" w:themeColor="text1"/>
          <w:sz w:val="25"/>
          <w:szCs w:val="25"/>
          <w:shd w:val="clear" w:color="auto" w:fill="FFFFFF"/>
        </w:rPr>
        <w:t>). </w:t>
      </w:r>
      <w:r w:rsidRPr="00822CCD">
        <w:rPr>
          <w:rStyle w:val="nlmarticle-title"/>
          <w:rFonts w:ascii="Times New Roman" w:hAnsi="Times New Roman" w:cs="Times New Roman"/>
          <w:color w:val="000000" w:themeColor="text1"/>
          <w:sz w:val="25"/>
          <w:szCs w:val="25"/>
          <w:shd w:val="clear" w:color="auto" w:fill="FFFFFF"/>
        </w:rPr>
        <w:t>Federal government funding reforms: Issues and challenges facing malaysian public universities</w:t>
      </w:r>
      <w:r w:rsidRPr="00822CCD">
        <w:rPr>
          <w:rFonts w:ascii="Times New Roman" w:hAnsi="Times New Roman" w:cs="Times New Roman"/>
          <w:color w:val="000000" w:themeColor="text1"/>
          <w:sz w:val="25"/>
          <w:szCs w:val="25"/>
          <w:shd w:val="clear" w:color="auto" w:fill="FFFFFF"/>
        </w:rPr>
        <w:t xml:space="preserve">. </w:t>
      </w:r>
      <w:r w:rsidRPr="00822CCD">
        <w:rPr>
          <w:rFonts w:ascii="Times New Roman" w:hAnsi="Times New Roman" w:cs="Times New Roman"/>
          <w:i/>
          <w:color w:val="000000" w:themeColor="text1"/>
          <w:sz w:val="25"/>
          <w:szCs w:val="25"/>
          <w:shd w:val="clear" w:color="auto" w:fill="FFFFFF"/>
        </w:rPr>
        <w:t>International Journal of Asian Social Science</w:t>
      </w:r>
      <w:r w:rsidRPr="00822CCD">
        <w:rPr>
          <w:rFonts w:ascii="Times New Roman" w:hAnsi="Times New Roman" w:cs="Times New Roman"/>
          <w:color w:val="000000" w:themeColor="text1"/>
          <w:sz w:val="25"/>
          <w:szCs w:val="25"/>
          <w:shd w:val="clear" w:color="auto" w:fill="FFFFFF"/>
        </w:rPr>
        <w:t>, 3(1), </w:t>
      </w:r>
      <w:r w:rsidRPr="00822CCD">
        <w:rPr>
          <w:rStyle w:val="nlmfpage"/>
          <w:rFonts w:ascii="Times New Roman" w:hAnsi="Times New Roman" w:cs="Times New Roman"/>
          <w:color w:val="000000" w:themeColor="text1"/>
          <w:sz w:val="25"/>
          <w:szCs w:val="25"/>
          <w:shd w:val="clear" w:color="auto" w:fill="FFFFFF"/>
        </w:rPr>
        <w:t>282</w:t>
      </w:r>
      <w:r w:rsidRPr="00822CCD">
        <w:rPr>
          <w:rFonts w:ascii="Times New Roman" w:hAnsi="Times New Roman" w:cs="Times New Roman"/>
          <w:color w:val="000000" w:themeColor="text1"/>
          <w:sz w:val="25"/>
          <w:szCs w:val="25"/>
          <w:shd w:val="clear" w:color="auto" w:fill="FFFFFF"/>
        </w:rPr>
        <w:t>–</w:t>
      </w:r>
      <w:r w:rsidRPr="00822CCD">
        <w:rPr>
          <w:rStyle w:val="nlmlpage"/>
          <w:rFonts w:ascii="Times New Roman" w:hAnsi="Times New Roman" w:cs="Times New Roman"/>
          <w:color w:val="000000" w:themeColor="text1"/>
          <w:sz w:val="25"/>
          <w:szCs w:val="25"/>
          <w:shd w:val="clear" w:color="auto" w:fill="FFFFFF"/>
        </w:rPr>
        <w:t>298</w:t>
      </w:r>
      <w:r w:rsidRPr="00822CCD">
        <w:rPr>
          <w:rFonts w:ascii="Times New Roman" w:hAnsi="Times New Roman" w:cs="Times New Roman"/>
          <w:color w:val="000000" w:themeColor="text1"/>
          <w:sz w:val="25"/>
          <w:szCs w:val="25"/>
          <w:shd w:val="clear" w:color="auto" w:fill="FFFFFF"/>
        </w:rPr>
        <w:t>.</w:t>
      </w:r>
    </w:p>
    <w:p w:rsidR="00673F0A" w:rsidRPr="00822CCD" w:rsidRDefault="00673F0A" w:rsidP="00822CCD">
      <w:pPr>
        <w:spacing w:after="0" w:line="240" w:lineRule="auto"/>
        <w:ind w:left="720" w:hanging="720"/>
        <w:jc w:val="both"/>
        <w:rPr>
          <w:rFonts w:ascii="Times New Roman" w:hAnsi="Times New Roman" w:cs="Times New Roman"/>
          <w:color w:val="000000" w:themeColor="text1"/>
          <w:sz w:val="25"/>
          <w:szCs w:val="25"/>
          <w:shd w:val="clear" w:color="auto" w:fill="FFFFFF"/>
        </w:rPr>
      </w:pPr>
      <w:r w:rsidRPr="00822CCD">
        <w:rPr>
          <w:rFonts w:ascii="Times New Roman" w:hAnsi="Times New Roman" w:cs="Times New Roman"/>
          <w:color w:val="000000" w:themeColor="text1"/>
          <w:sz w:val="25"/>
          <w:szCs w:val="25"/>
          <w:shd w:val="clear" w:color="auto" w:fill="FFFFFF"/>
        </w:rPr>
        <w:t>Baffour-Awuah, P. (</w:t>
      </w:r>
      <w:r w:rsidRPr="00822CCD">
        <w:rPr>
          <w:rStyle w:val="nlmyear"/>
          <w:rFonts w:ascii="Times New Roman" w:hAnsi="Times New Roman" w:cs="Times New Roman"/>
          <w:color w:val="000000" w:themeColor="text1"/>
          <w:sz w:val="25"/>
          <w:szCs w:val="25"/>
          <w:shd w:val="clear" w:color="auto" w:fill="FFFFFF"/>
        </w:rPr>
        <w:t>2011</w:t>
      </w:r>
      <w:r w:rsidRPr="00822CCD">
        <w:rPr>
          <w:rFonts w:ascii="Times New Roman" w:hAnsi="Times New Roman" w:cs="Times New Roman"/>
          <w:color w:val="000000" w:themeColor="text1"/>
          <w:sz w:val="25"/>
          <w:szCs w:val="25"/>
          <w:shd w:val="clear" w:color="auto" w:fill="FFFFFF"/>
        </w:rPr>
        <w:t xml:space="preserve">). Supervision of instruction in public primary schools in Ghana: Teachers’ and head teachers’ perspectives. </w:t>
      </w:r>
      <w:r w:rsidRPr="00822CCD">
        <w:rPr>
          <w:rFonts w:ascii="Times New Roman" w:hAnsi="Times New Roman" w:cs="Times New Roman"/>
          <w:i/>
          <w:color w:val="000000" w:themeColor="text1"/>
          <w:sz w:val="25"/>
          <w:szCs w:val="25"/>
          <w:shd w:val="clear" w:color="auto" w:fill="FFFFFF"/>
        </w:rPr>
        <w:t>Professional Doctorate Thesis</w:t>
      </w:r>
      <w:r w:rsidRPr="00822CCD">
        <w:rPr>
          <w:rFonts w:ascii="Times New Roman" w:hAnsi="Times New Roman" w:cs="Times New Roman"/>
          <w:color w:val="000000" w:themeColor="text1"/>
          <w:sz w:val="25"/>
          <w:szCs w:val="25"/>
          <w:shd w:val="clear" w:color="auto" w:fill="FFFFFF"/>
        </w:rPr>
        <w:t xml:space="preserve">, </w:t>
      </w:r>
      <w:r w:rsidRPr="00822CCD">
        <w:rPr>
          <w:rStyle w:val="nlmpublisher-name"/>
          <w:rFonts w:ascii="Times New Roman" w:hAnsi="Times New Roman" w:cs="Times New Roman"/>
          <w:color w:val="000000" w:themeColor="text1"/>
          <w:sz w:val="25"/>
          <w:szCs w:val="25"/>
          <w:shd w:val="clear" w:color="auto" w:fill="FFFFFF"/>
        </w:rPr>
        <w:t>Murdock University</w:t>
      </w:r>
      <w:r w:rsidRPr="00822CCD">
        <w:rPr>
          <w:rFonts w:ascii="Times New Roman" w:hAnsi="Times New Roman" w:cs="Times New Roman"/>
          <w:color w:val="000000" w:themeColor="text1"/>
          <w:sz w:val="25"/>
          <w:szCs w:val="25"/>
          <w:shd w:val="clear" w:color="auto" w:fill="FFFFFF"/>
        </w:rPr>
        <w:t>.</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Brookhart, S. (2011).Educational assessment knowledge and skills for teachers.</w:t>
      </w:r>
      <w:r w:rsidRPr="00822CCD">
        <w:rPr>
          <w:rFonts w:ascii="Times New Roman" w:hAnsi="Times New Roman" w:cs="Times New Roman"/>
          <w:i/>
          <w:iCs/>
          <w:color w:val="000000" w:themeColor="text1"/>
          <w:sz w:val="25"/>
          <w:szCs w:val="25"/>
        </w:rPr>
        <w:t>Educational Measurement: Issues and Practice</w:t>
      </w:r>
      <w:r w:rsidRPr="00822CCD">
        <w:rPr>
          <w:rFonts w:ascii="Times New Roman" w:hAnsi="Times New Roman" w:cs="Times New Roman"/>
          <w:color w:val="000000" w:themeColor="text1"/>
          <w:sz w:val="25"/>
          <w:szCs w:val="25"/>
        </w:rPr>
        <w:t xml:space="preserve">, </w:t>
      </w:r>
      <w:r w:rsidRPr="00822CCD">
        <w:rPr>
          <w:rFonts w:ascii="Times New Roman" w:hAnsi="Times New Roman" w:cs="Times New Roman"/>
          <w:i/>
          <w:iCs/>
          <w:color w:val="000000" w:themeColor="text1"/>
          <w:sz w:val="25"/>
          <w:szCs w:val="25"/>
        </w:rPr>
        <w:t>30</w:t>
      </w:r>
      <w:r w:rsidRPr="00822CCD">
        <w:rPr>
          <w:rFonts w:ascii="Times New Roman" w:hAnsi="Times New Roman" w:cs="Times New Roman"/>
          <w:color w:val="000000" w:themeColor="text1"/>
          <w:sz w:val="25"/>
          <w:szCs w:val="25"/>
        </w:rPr>
        <w:t>(1), 3–12.</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bCs/>
          <w:color w:val="000000" w:themeColor="text1"/>
          <w:sz w:val="25"/>
          <w:szCs w:val="25"/>
        </w:rPr>
      </w:pPr>
      <w:r w:rsidRPr="00822CCD">
        <w:rPr>
          <w:rFonts w:ascii="Times New Roman" w:hAnsi="Times New Roman" w:cs="Times New Roman"/>
          <w:color w:val="000000" w:themeColor="text1"/>
          <w:sz w:val="25"/>
          <w:szCs w:val="25"/>
        </w:rPr>
        <w:t>Ikegbusi N. G, Eziamaka, C. N. (2016). “The Impact of supervision of instruction on teacher effectiveness in secondary schools in Nigeria”.</w:t>
      </w:r>
      <w:r w:rsidRPr="00822CCD">
        <w:rPr>
          <w:rFonts w:ascii="Times New Roman" w:hAnsi="Times New Roman" w:cs="Times New Roman"/>
          <w:i/>
          <w:color w:val="000000" w:themeColor="text1"/>
          <w:sz w:val="25"/>
          <w:szCs w:val="25"/>
        </w:rPr>
        <w:t>International Journal of Advanced Research in Education &amp; Technology (IJARET).</w:t>
      </w:r>
      <w:r w:rsidRPr="00822CCD">
        <w:rPr>
          <w:rFonts w:ascii="Times New Roman" w:hAnsi="Times New Roman" w:cs="Times New Roman"/>
          <w:color w:val="000000" w:themeColor="text1"/>
          <w:sz w:val="25"/>
          <w:szCs w:val="25"/>
        </w:rPr>
        <w:t xml:space="preserve"> 3(1): 12 –16.</w:t>
      </w:r>
    </w:p>
    <w:p w:rsidR="00673F0A" w:rsidRPr="00822CCD" w:rsidRDefault="00673F0A" w:rsidP="00822CCD">
      <w:pPr>
        <w:shd w:val="clear" w:color="auto" w:fill="FFFFFF"/>
        <w:spacing w:after="0" w:line="240" w:lineRule="auto"/>
        <w:ind w:left="720" w:hanging="720"/>
        <w:jc w:val="both"/>
        <w:outlineLvl w:val="0"/>
        <w:rPr>
          <w:rFonts w:ascii="Times New Roman" w:hAnsi="Times New Roman" w:cs="Times New Roman"/>
          <w:bCs/>
          <w:color w:val="000000" w:themeColor="text1"/>
          <w:kern w:val="36"/>
          <w:sz w:val="25"/>
          <w:szCs w:val="25"/>
        </w:rPr>
      </w:pPr>
      <w:r w:rsidRPr="00822CCD">
        <w:rPr>
          <w:rFonts w:ascii="Times New Roman" w:hAnsi="Times New Roman" w:cs="Times New Roman"/>
          <w:bCs/>
          <w:color w:val="000000" w:themeColor="text1"/>
          <w:kern w:val="36"/>
          <w:sz w:val="25"/>
          <w:szCs w:val="25"/>
        </w:rPr>
        <w:t>Kazi, E., Husaina, B., Malar, V. (2020). Relationships between supervision and teachers’ performance and attitude in secondary schools in Malaysia.</w:t>
      </w:r>
      <w:hyperlink r:id="rId62" w:history="1">
        <w:r w:rsidRPr="00822CCD">
          <w:rPr>
            <w:rStyle w:val="Hyperlink"/>
            <w:rFonts w:ascii="Times New Roman" w:hAnsi="Times New Roman" w:cs="Times New Roman"/>
            <w:bCs/>
            <w:color w:val="000000" w:themeColor="text1"/>
            <w:kern w:val="36"/>
            <w:sz w:val="25"/>
            <w:szCs w:val="25"/>
          </w:rPr>
          <w:t>https://journals.sagepub.com/doi/full/10.1177/2158244020925501</w:t>
        </w:r>
      </w:hyperlink>
      <w:r w:rsidRPr="00822CCD">
        <w:rPr>
          <w:rFonts w:ascii="Times New Roman" w:hAnsi="Times New Roman" w:cs="Times New Roman"/>
          <w:bCs/>
          <w:color w:val="000000" w:themeColor="text1"/>
          <w:kern w:val="36"/>
          <w:sz w:val="25"/>
          <w:szCs w:val="25"/>
        </w:rPr>
        <w:t xml:space="preserve"> on 1st July, 2021.</w:t>
      </w:r>
    </w:p>
    <w:p w:rsidR="00673F0A" w:rsidRPr="00822CCD" w:rsidRDefault="00673F0A" w:rsidP="00822CCD">
      <w:pPr>
        <w:spacing w:after="0" w:line="240" w:lineRule="auto"/>
        <w:ind w:left="720" w:hanging="720"/>
        <w:jc w:val="both"/>
        <w:rPr>
          <w:rFonts w:ascii="Times New Roman" w:hAnsi="Times New Roman" w:cs="Times New Roman"/>
          <w:color w:val="000000" w:themeColor="text1"/>
          <w:sz w:val="25"/>
          <w:szCs w:val="25"/>
          <w:shd w:val="clear" w:color="auto" w:fill="FFFFFF"/>
        </w:rPr>
      </w:pPr>
      <w:r w:rsidRPr="00822CCD">
        <w:rPr>
          <w:rFonts w:ascii="Times New Roman" w:hAnsi="Times New Roman" w:cs="Times New Roman"/>
          <w:color w:val="000000" w:themeColor="text1"/>
          <w:sz w:val="25"/>
          <w:szCs w:val="25"/>
          <w:shd w:val="clear" w:color="auto" w:fill="FFFFFF"/>
        </w:rPr>
        <w:t>Kholid, I. and Rohmatika, R. V. (</w:t>
      </w:r>
      <w:r w:rsidRPr="00822CCD">
        <w:rPr>
          <w:rStyle w:val="nlmyear"/>
          <w:rFonts w:ascii="Times New Roman" w:hAnsi="Times New Roman" w:cs="Times New Roman"/>
          <w:color w:val="000000" w:themeColor="text1"/>
          <w:sz w:val="25"/>
          <w:szCs w:val="25"/>
          <w:shd w:val="clear" w:color="auto" w:fill="FFFFFF"/>
        </w:rPr>
        <w:t>2019</w:t>
      </w:r>
      <w:r w:rsidRPr="00822CCD">
        <w:rPr>
          <w:rFonts w:ascii="Times New Roman" w:hAnsi="Times New Roman" w:cs="Times New Roman"/>
          <w:color w:val="000000" w:themeColor="text1"/>
          <w:sz w:val="25"/>
          <w:szCs w:val="25"/>
          <w:shd w:val="clear" w:color="auto" w:fill="FFFFFF"/>
        </w:rPr>
        <w:t>). </w:t>
      </w:r>
      <w:r w:rsidRPr="00822CCD">
        <w:rPr>
          <w:rStyle w:val="nlmarticle-title"/>
          <w:rFonts w:ascii="Times New Roman" w:hAnsi="Times New Roman" w:cs="Times New Roman"/>
          <w:color w:val="000000" w:themeColor="text1"/>
          <w:sz w:val="25"/>
          <w:szCs w:val="25"/>
          <w:shd w:val="clear" w:color="auto" w:fill="FFFFFF"/>
        </w:rPr>
        <w:t>Integrated clinical supervision model: Efforts to increase teacher’s performance of Madrasah Aliyah</w:t>
      </w:r>
      <w:r w:rsidRPr="00822CCD">
        <w:rPr>
          <w:rFonts w:ascii="Times New Roman" w:hAnsi="Times New Roman" w:cs="Times New Roman"/>
          <w:color w:val="000000" w:themeColor="text1"/>
          <w:sz w:val="25"/>
          <w:szCs w:val="25"/>
          <w:shd w:val="clear" w:color="auto" w:fill="FFFFFF"/>
        </w:rPr>
        <w:t xml:space="preserve">. </w:t>
      </w:r>
      <w:r w:rsidRPr="00822CCD">
        <w:rPr>
          <w:rFonts w:ascii="Times New Roman" w:hAnsi="Times New Roman" w:cs="Times New Roman"/>
          <w:i/>
          <w:color w:val="000000" w:themeColor="text1"/>
          <w:sz w:val="25"/>
          <w:szCs w:val="25"/>
          <w:shd w:val="clear" w:color="auto" w:fill="FFFFFF"/>
        </w:rPr>
        <w:t>Journal of Physics: Conference Series</w:t>
      </w:r>
      <w:r w:rsidRPr="00822CCD">
        <w:rPr>
          <w:rFonts w:ascii="Times New Roman" w:hAnsi="Times New Roman" w:cs="Times New Roman"/>
          <w:color w:val="000000" w:themeColor="text1"/>
          <w:sz w:val="25"/>
          <w:szCs w:val="25"/>
          <w:shd w:val="clear" w:color="auto" w:fill="FFFFFF"/>
        </w:rPr>
        <w:t>, 11(55), 012091</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Ministry of Education. (2011). Assessment: Schooling sector. Ministry of Education.</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 xml:space="preserve">Moses, W. and Geoffrey, K. (2015). Influence of performance appraisal on employee performance in commercial banks in Trans Nzoia County – Kenya.  </w:t>
      </w:r>
      <w:r w:rsidRPr="00822CCD">
        <w:rPr>
          <w:rFonts w:ascii="Times New Roman" w:hAnsi="Times New Roman" w:cs="Times New Roman"/>
          <w:i/>
          <w:iCs/>
          <w:color w:val="000000" w:themeColor="text1"/>
          <w:sz w:val="25"/>
          <w:szCs w:val="25"/>
        </w:rPr>
        <w:t>International Journal of Academic Research in Business and Social Sciences</w:t>
      </w:r>
      <w:r w:rsidRPr="00822CCD">
        <w:rPr>
          <w:rFonts w:ascii="Times New Roman" w:hAnsi="Times New Roman" w:cs="Times New Roman"/>
          <w:color w:val="000000" w:themeColor="text1"/>
          <w:sz w:val="25"/>
          <w:szCs w:val="25"/>
        </w:rPr>
        <w:t>, 5(8).</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 xml:space="preserve">Okeme, I. and Bishie-Unung, S. S. (2015). Quality assurance ability of lecturers of agricultural education in developing psycho-productive multiple choice items in animal science in colleges of education in Cross River State, Nigeria. </w:t>
      </w:r>
      <w:r w:rsidRPr="00822CCD">
        <w:rPr>
          <w:rFonts w:ascii="Times New Roman" w:hAnsi="Times New Roman" w:cs="Times New Roman"/>
          <w:i/>
          <w:color w:val="000000" w:themeColor="text1"/>
          <w:sz w:val="25"/>
          <w:szCs w:val="25"/>
        </w:rPr>
        <w:t>Global Advanced Research Journal of Agricultural Science</w:t>
      </w:r>
      <w:r w:rsidRPr="00822CCD">
        <w:rPr>
          <w:rFonts w:ascii="Times New Roman" w:hAnsi="Times New Roman" w:cs="Times New Roman"/>
          <w:color w:val="000000" w:themeColor="text1"/>
          <w:sz w:val="25"/>
          <w:szCs w:val="25"/>
        </w:rPr>
        <w:t xml:space="preserve">, 4(8): 391-395 </w:t>
      </w:r>
    </w:p>
    <w:p w:rsidR="00673F0A" w:rsidRPr="00822CCD" w:rsidRDefault="00673F0A" w:rsidP="00822CCD">
      <w:pPr>
        <w:pStyle w:val="Default"/>
        <w:ind w:left="720" w:hanging="720"/>
        <w:jc w:val="both"/>
        <w:rPr>
          <w:color w:val="000000" w:themeColor="text1"/>
          <w:sz w:val="25"/>
          <w:szCs w:val="25"/>
        </w:rPr>
      </w:pPr>
      <w:r w:rsidRPr="00822CCD">
        <w:rPr>
          <w:color w:val="000000" w:themeColor="text1"/>
          <w:sz w:val="25"/>
          <w:szCs w:val="25"/>
          <w:shd w:val="clear" w:color="auto" w:fill="FFFFFF"/>
        </w:rPr>
        <w:t>Organisation for Economic Co-operation and Development </w:t>
      </w:r>
      <w:r w:rsidRPr="00822CCD">
        <w:rPr>
          <w:bCs/>
          <w:color w:val="000000" w:themeColor="text1"/>
          <w:sz w:val="25"/>
          <w:szCs w:val="25"/>
        </w:rPr>
        <w:t>(OECD) (2018).</w:t>
      </w:r>
      <w:r w:rsidRPr="00822CCD">
        <w:rPr>
          <w:color w:val="000000" w:themeColor="text1"/>
          <w:sz w:val="25"/>
          <w:szCs w:val="25"/>
        </w:rPr>
        <w:t xml:space="preserve">Evaluation and assessment frameworks for improving school outcomes common policy challenges. </w:t>
      </w:r>
      <w:hyperlink r:id="rId63" w:history="1">
        <w:r w:rsidRPr="00822CCD">
          <w:rPr>
            <w:rStyle w:val="Hyperlink"/>
            <w:color w:val="000000" w:themeColor="text1"/>
            <w:sz w:val="25"/>
            <w:szCs w:val="25"/>
          </w:rPr>
          <w:t>www.oecd.org/edu/evaluationpolicy</w:t>
        </w:r>
      </w:hyperlink>
      <w:r w:rsidRPr="00822CCD">
        <w:rPr>
          <w:color w:val="000000" w:themeColor="text1"/>
          <w:sz w:val="25"/>
          <w:szCs w:val="25"/>
        </w:rPr>
        <w:t xml:space="preserve"> on 1st July, 2021.</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 xml:space="preserve">Raigama R. (2010). </w:t>
      </w:r>
      <w:r w:rsidRPr="00822CCD">
        <w:rPr>
          <w:rFonts w:ascii="Times New Roman" w:hAnsi="Times New Roman" w:cs="Times New Roman"/>
          <w:iCs/>
          <w:color w:val="000000" w:themeColor="text1"/>
          <w:sz w:val="25"/>
          <w:szCs w:val="25"/>
        </w:rPr>
        <w:t>Impact of human resource management practices on human resource management outcomes in Sri Lankan public sector banks</w:t>
      </w:r>
      <w:r w:rsidRPr="00822CCD">
        <w:rPr>
          <w:rFonts w:ascii="Times New Roman" w:hAnsi="Times New Roman" w:cs="Times New Roman"/>
          <w:color w:val="000000" w:themeColor="text1"/>
          <w:sz w:val="25"/>
          <w:szCs w:val="25"/>
        </w:rPr>
        <w:t xml:space="preserve">. </w:t>
      </w:r>
      <w:r w:rsidRPr="00822CCD">
        <w:rPr>
          <w:rFonts w:ascii="Times New Roman" w:hAnsi="Times New Roman" w:cs="Times New Roman"/>
          <w:i/>
          <w:color w:val="000000" w:themeColor="text1"/>
          <w:sz w:val="25"/>
          <w:szCs w:val="25"/>
        </w:rPr>
        <w:t>Master Thesis</w:t>
      </w:r>
      <w:r w:rsidRPr="00822CCD">
        <w:rPr>
          <w:rFonts w:ascii="Times New Roman" w:hAnsi="Times New Roman" w:cs="Times New Roman"/>
          <w:color w:val="000000" w:themeColor="text1"/>
          <w:sz w:val="25"/>
          <w:szCs w:val="25"/>
        </w:rPr>
        <w:t>, University of Agder.</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22CCD">
        <w:rPr>
          <w:rFonts w:ascii="Times New Roman" w:hAnsi="Times New Roman" w:cs="Times New Roman"/>
          <w:color w:val="000000" w:themeColor="text1"/>
          <w:sz w:val="25"/>
          <w:szCs w:val="25"/>
        </w:rPr>
        <w:t xml:space="preserve">Ukeje, B. O. (2012). </w:t>
      </w:r>
      <w:r w:rsidRPr="00822CCD">
        <w:rPr>
          <w:rFonts w:ascii="Times New Roman" w:hAnsi="Times New Roman" w:cs="Times New Roman"/>
          <w:i/>
          <w:color w:val="000000" w:themeColor="text1"/>
          <w:sz w:val="25"/>
          <w:szCs w:val="25"/>
        </w:rPr>
        <w:t>Educational administration</w:t>
      </w:r>
      <w:r w:rsidRPr="00822CCD">
        <w:rPr>
          <w:rFonts w:ascii="Times New Roman" w:hAnsi="Times New Roman" w:cs="Times New Roman"/>
          <w:color w:val="000000" w:themeColor="text1"/>
          <w:sz w:val="25"/>
          <w:szCs w:val="25"/>
        </w:rPr>
        <w:t>. Enugu: Fourth Dimension Pub. Ltd.</w:t>
      </w:r>
    </w:p>
    <w:p w:rsidR="00673F0A" w:rsidRPr="00822CCD" w:rsidRDefault="00673F0A" w:rsidP="00822CCD">
      <w:pPr>
        <w:autoSpaceDE w:val="0"/>
        <w:autoSpaceDN w:val="0"/>
        <w:adjustRightInd w:val="0"/>
        <w:spacing w:after="0" w:line="240" w:lineRule="auto"/>
        <w:ind w:left="720" w:hanging="720"/>
        <w:jc w:val="both"/>
        <w:rPr>
          <w:rFonts w:ascii="Times New Roman" w:hAnsi="Times New Roman" w:cs="Times New Roman"/>
          <w:sz w:val="25"/>
          <w:szCs w:val="25"/>
        </w:rPr>
      </w:pPr>
      <w:r w:rsidRPr="00822CCD">
        <w:rPr>
          <w:rFonts w:ascii="Times New Roman" w:hAnsi="Times New Roman" w:cs="Times New Roman"/>
          <w:sz w:val="25"/>
          <w:szCs w:val="25"/>
        </w:rPr>
        <w:t>Undie, S. B., Ewuru, A. A. and Enenwan, A. E. (2013). Assessing quality assurance inputs for teaching of business teacher education in selected colleges of education in South-South Nigeria.</w:t>
      </w:r>
      <w:r w:rsidRPr="00822CCD">
        <w:rPr>
          <w:rFonts w:ascii="Times New Roman" w:hAnsi="Times New Roman" w:cs="Times New Roman"/>
          <w:i/>
          <w:sz w:val="25"/>
          <w:szCs w:val="25"/>
        </w:rPr>
        <w:t>Nigeria Journal of Business Education</w:t>
      </w:r>
      <w:r w:rsidRPr="00822CCD">
        <w:rPr>
          <w:rFonts w:ascii="Times New Roman" w:hAnsi="Times New Roman" w:cs="Times New Roman"/>
          <w:sz w:val="25"/>
          <w:szCs w:val="25"/>
        </w:rPr>
        <w:t>, 1(2), 105-186</w:t>
      </w:r>
    </w:p>
    <w:p w:rsidR="00673F0A" w:rsidRPr="00822CCD" w:rsidRDefault="00673F0A" w:rsidP="007137CC">
      <w:pPr>
        <w:autoSpaceDE w:val="0"/>
        <w:autoSpaceDN w:val="0"/>
        <w:adjustRightInd w:val="0"/>
        <w:spacing w:after="0" w:line="240" w:lineRule="auto"/>
        <w:ind w:hanging="720"/>
        <w:jc w:val="both"/>
        <w:rPr>
          <w:rFonts w:ascii="Times New Roman" w:hAnsi="Times New Roman" w:cs="Times New Roman"/>
          <w:color w:val="000000" w:themeColor="text1"/>
          <w:sz w:val="25"/>
          <w:szCs w:val="25"/>
        </w:rPr>
      </w:pPr>
    </w:p>
    <w:p w:rsidR="007137CC" w:rsidRPr="00822CCD" w:rsidRDefault="007137CC" w:rsidP="007137CC">
      <w:pPr>
        <w:spacing w:after="0"/>
        <w:rPr>
          <w:rFonts w:ascii="Times New Roman" w:hAnsi="Times New Roman" w:cs="Times New Roman"/>
          <w:sz w:val="25"/>
          <w:szCs w:val="25"/>
        </w:rPr>
      </w:pPr>
      <w:r w:rsidRPr="00822CCD">
        <w:rPr>
          <w:rFonts w:ascii="Times New Roman" w:hAnsi="Times New Roman" w:cs="Times New Roman"/>
          <w:sz w:val="25"/>
          <w:szCs w:val="25"/>
        </w:rPr>
        <w:lastRenderedPageBreak/>
        <w:br w:type="page"/>
      </w:r>
    </w:p>
    <w:p w:rsidR="005D48B0" w:rsidRPr="00210BD3" w:rsidRDefault="005D48B0" w:rsidP="007137CC">
      <w:pPr>
        <w:spacing w:before="100" w:beforeAutospacing="1" w:after="100" w:afterAutospacing="1" w:line="240" w:lineRule="auto"/>
        <w:jc w:val="center"/>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lastRenderedPageBreak/>
        <w:t>Theoretical and Practical Dimensions of Vocational Education: Analyzing Charles Prosser's Theorem 5 and its impact on Modern Training Practices</w:t>
      </w:r>
    </w:p>
    <w:p w:rsidR="005D48B0" w:rsidRPr="00210BD3" w:rsidRDefault="005D48B0" w:rsidP="007137CC">
      <w:pPr>
        <w:spacing w:before="100" w:beforeAutospacing="1" w:after="100" w:afterAutospacing="1" w:line="240" w:lineRule="auto"/>
        <w:jc w:val="center"/>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Patience C. Etura</w:t>
      </w:r>
      <w:r w:rsidRPr="00210BD3">
        <w:rPr>
          <w:rFonts w:ascii="Times New Roman" w:eastAsia="Times New Roman" w:hAnsi="Times New Roman" w:cs="Times New Roman"/>
          <w:sz w:val="26"/>
          <w:szCs w:val="26"/>
        </w:rPr>
        <w:br/>
        <w:t>akpama407@gmail.com</w:t>
      </w:r>
      <w:r w:rsidRPr="00210BD3">
        <w:rPr>
          <w:rFonts w:ascii="Times New Roman" w:eastAsia="Times New Roman" w:hAnsi="Times New Roman" w:cs="Times New Roman"/>
          <w:sz w:val="26"/>
          <w:szCs w:val="26"/>
        </w:rPr>
        <w:br/>
        <w:t>Department of Business Education</w:t>
      </w:r>
      <w:r w:rsidRPr="00210BD3">
        <w:rPr>
          <w:rFonts w:ascii="Times New Roman" w:eastAsia="Times New Roman" w:hAnsi="Times New Roman" w:cs="Times New Roman"/>
          <w:sz w:val="26"/>
          <w:szCs w:val="26"/>
        </w:rPr>
        <w:br/>
        <w:t>Faculty of Vocational and Entrepreneurial Education</w:t>
      </w:r>
      <w:r w:rsidRPr="00210BD3">
        <w:rPr>
          <w:rFonts w:ascii="Times New Roman" w:eastAsia="Times New Roman" w:hAnsi="Times New Roman" w:cs="Times New Roman"/>
          <w:sz w:val="26"/>
          <w:szCs w:val="26"/>
        </w:rPr>
        <w:br/>
        <w:t>University of Calabar, Calabar, Nigeria</w:t>
      </w:r>
    </w:p>
    <w:p w:rsidR="005D48B0" w:rsidRPr="00210BD3" w:rsidRDefault="005D48B0" w:rsidP="007137CC">
      <w:pPr>
        <w:spacing w:after="0" w:line="240" w:lineRule="auto"/>
        <w:jc w:val="center"/>
        <w:rPr>
          <w:rFonts w:ascii="Times New Roman" w:eastAsia="Times New Roman" w:hAnsi="Times New Roman" w:cs="Times New Roman"/>
          <w:b/>
          <w:sz w:val="26"/>
          <w:szCs w:val="26"/>
        </w:rPr>
      </w:pPr>
      <w:r w:rsidRPr="00210BD3">
        <w:rPr>
          <w:rFonts w:ascii="Times New Roman" w:eastAsia="Times New Roman" w:hAnsi="Times New Roman" w:cs="Times New Roman"/>
          <w:b/>
          <w:sz w:val="26"/>
          <w:szCs w:val="26"/>
        </w:rPr>
        <w:t>Ita O. Ekpenyong</w:t>
      </w:r>
    </w:p>
    <w:p w:rsidR="005D48B0" w:rsidRPr="00210BD3" w:rsidRDefault="005D48B0" w:rsidP="007137CC">
      <w:pPr>
        <w:spacing w:after="0" w:line="240" w:lineRule="auto"/>
        <w:jc w:val="center"/>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Cross River State Secondary Education Board</w:t>
      </w:r>
    </w:p>
    <w:p w:rsidR="005D48B0" w:rsidRDefault="005D48B0" w:rsidP="007137CC">
      <w:pPr>
        <w:spacing w:after="0" w:line="240" w:lineRule="auto"/>
        <w:jc w:val="center"/>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Calabar</w:t>
      </w:r>
    </w:p>
    <w:p w:rsidR="007137CC" w:rsidRPr="00210BD3" w:rsidRDefault="007137CC" w:rsidP="007137CC">
      <w:pPr>
        <w:spacing w:after="0" w:line="240" w:lineRule="auto"/>
        <w:jc w:val="center"/>
        <w:rPr>
          <w:rFonts w:ascii="Times New Roman" w:eastAsia="Times New Roman" w:hAnsi="Times New Roman" w:cs="Times New Roman"/>
          <w:sz w:val="26"/>
          <w:szCs w:val="26"/>
        </w:rPr>
      </w:pPr>
    </w:p>
    <w:p w:rsidR="005D48B0" w:rsidRPr="00210BD3" w:rsidRDefault="005D48B0" w:rsidP="007137CC">
      <w:pPr>
        <w:spacing w:after="0" w:line="240" w:lineRule="auto"/>
        <w:jc w:val="center"/>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Abstract</w:t>
      </w:r>
    </w:p>
    <w:p w:rsidR="005D48B0" w:rsidRPr="00210BD3" w:rsidRDefault="005D48B0" w:rsidP="007137CC">
      <w:pPr>
        <w:spacing w:after="100" w:afterAutospacing="1"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This paper examined Theorem 5 of Charles Prosser’s vocational education principles, which emphasizes the importance of aligning vocational training with real-world occupational conditions. Theorem 5 posits that effective vocational education should replicate the exact work environments and conditions that students will encounter in their chosen professions. This research explores the implications of this theorem, analyzing how it can enhance the relevance and applicability of vocational training programs. By creating learning environments that mirror actual job settings, students gain practical experience and develop the specific skills required by employers. The paper delves into the challenges and benefits of implementing Theorem 5 in modern vocational education, including the need for updated facilities, industry partnerships, and a curriculum that reflects current job market trends. The study also addresses the importance of work ethics, safety standards, and the use of modern equipment in preparing students for the workforce. While implementing Theorem 5 presents logistical and financial challenges, its successful application can significantly improve the quality and effectiveness of vocational training; thereby better equipping graduates to meet the demands of the 21st-century labor market.</w:t>
      </w:r>
    </w:p>
    <w:p w:rsidR="005D48B0" w:rsidRPr="00210BD3" w:rsidRDefault="005D48B0" w:rsidP="007137CC">
      <w:pPr>
        <w:spacing w:before="100" w:beforeAutospacing="1"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Keywords</w:t>
      </w:r>
      <w:r w:rsidRPr="00210BD3">
        <w:rPr>
          <w:rFonts w:ascii="Times New Roman" w:eastAsia="Times New Roman" w:hAnsi="Times New Roman" w:cs="Times New Roman"/>
          <w:sz w:val="26"/>
          <w:szCs w:val="26"/>
        </w:rPr>
        <w:t>: Vocational education, Theorem 5, workplace simulation, real-work situation, training, industry partnerships, job market</w:t>
      </w:r>
    </w:p>
    <w:p w:rsidR="007137CC" w:rsidRDefault="007137CC" w:rsidP="007137CC">
      <w:pPr>
        <w:spacing w:before="100" w:beforeAutospacing="1" w:after="0" w:line="240" w:lineRule="auto"/>
        <w:jc w:val="both"/>
        <w:outlineLvl w:val="2"/>
        <w:rPr>
          <w:rFonts w:ascii="Times New Roman" w:eastAsia="Times New Roman" w:hAnsi="Times New Roman" w:cs="Times New Roman"/>
          <w:b/>
          <w:bCs/>
          <w:sz w:val="26"/>
          <w:szCs w:val="26"/>
        </w:rPr>
        <w:sectPr w:rsidR="007137CC" w:rsidSect="00210BD3">
          <w:type w:val="continuous"/>
          <w:pgSz w:w="12240" w:h="15840" w:code="1"/>
          <w:pgMar w:top="1440" w:right="1440" w:bottom="1440" w:left="1440" w:header="706" w:footer="706" w:gutter="0"/>
          <w:cols w:space="708"/>
          <w:docGrid w:linePitch="360"/>
        </w:sectPr>
      </w:pPr>
    </w:p>
    <w:p w:rsidR="005D48B0" w:rsidRPr="00210BD3" w:rsidRDefault="005D48B0" w:rsidP="007137CC">
      <w:pPr>
        <w:spacing w:before="100" w:beforeAutospacing="1"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lastRenderedPageBreak/>
        <w:t>Introduction</w:t>
      </w:r>
    </w:p>
    <w:p w:rsidR="005D48B0" w:rsidRPr="00210BD3" w:rsidRDefault="005D48B0" w:rsidP="007137CC">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Vocational education is multi-dimensional in content, approach and delivery. Its pragmatic approach draws from its relevance to individual and societal needs both at the local setting where it is needed and the global society. One of the guiding principles in vocational education was propounded by </w:t>
      </w:r>
      <w:r w:rsidRPr="00210BD3">
        <w:rPr>
          <w:rFonts w:ascii="Times New Roman" w:eastAsia="Times New Roman" w:hAnsi="Times New Roman" w:cs="Times New Roman"/>
          <w:sz w:val="26"/>
          <w:szCs w:val="26"/>
        </w:rPr>
        <w:lastRenderedPageBreak/>
        <w:t>Charles Prosser, whose 16 theorems continue to play significant roles in vocational education. This research singles out Theorem 5 for its broad relevance to both theoretical and practical dimensions.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Theorem 5 of Charles Prosser’s vocational education principles asserts that vocational training will be most </w:t>
      </w:r>
      <w:r w:rsidRPr="00210BD3">
        <w:rPr>
          <w:rFonts w:ascii="Times New Roman" w:eastAsia="Times New Roman" w:hAnsi="Times New Roman" w:cs="Times New Roman"/>
          <w:sz w:val="26"/>
          <w:szCs w:val="26"/>
        </w:rPr>
        <w:lastRenderedPageBreak/>
        <w:t>effective when the educational environment replicates the conditions of the actual workplace where students will eventually work. This principle emphasizes that the extent to which vocational education successfully prepares students for their careers is directly related to how closely the training environment mirrors the real-world conditions and practices of the relevant industries. By creating learning environments that simulate the actual work settings, including the use of industry-specific tools, adherence to safety regulations, and management of workflow processes, Theorem 5 aims to ensure that students are well-equipped with both theoretical knowledge and practical skills necessary for their professional success.</w:t>
      </w:r>
    </w:p>
    <w:p w:rsidR="005D48B0" w:rsidRPr="00210BD3" w:rsidRDefault="005D48B0" w:rsidP="007137CC">
      <w:pPr>
        <w:autoSpaceDE w:val="0"/>
        <w:autoSpaceDN w:val="0"/>
        <w:adjustRightInd w:val="0"/>
        <w:spacing w:after="0" w:line="240" w:lineRule="auto"/>
        <w:ind w:firstLine="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A study by Lim and Meer (2020) found that teacher-student gender matches can have a positive impact on student outcomes in vocational education. A study by Muehlemann et al. (2019) found that apprenticeships can be an effective way to provide vocational education and training, particularly for students who prefer hands-on learning. Research by Bol et al. (2019) found that vocational education can provide opportunities for social mobility, particularly for students from disadvantaged backgrounds. A study by Lee et al. (2020) found that online vocational education can provide students with flexible and accessible learning opportunities, particularly for those who cannot attend traditional classes. </w:t>
      </w:r>
    </w:p>
    <w:p w:rsidR="005D48B0" w:rsidRPr="00210BD3" w:rsidRDefault="005D48B0" w:rsidP="007137CC">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Charles Prosser was a pioneering figure in the field of vocational education, whose work has had a lasting </w:t>
      </w:r>
      <w:r w:rsidRPr="00210BD3">
        <w:rPr>
          <w:rFonts w:ascii="Times New Roman" w:eastAsia="Times New Roman" w:hAnsi="Times New Roman" w:cs="Times New Roman"/>
          <w:sz w:val="26"/>
          <w:szCs w:val="26"/>
        </w:rPr>
        <w:lastRenderedPageBreak/>
        <w:t>impact on the development of effective training programmes. Born in the late 19th century, Prosser's career was marked by a deep commitment to improving vocational education and addressing the gaps between theoretical knowledge and practical application. Prosser's journey into vocational education began with his recognition of the need for more relevant and practical training for workers. During his time, vocational education was often criticized for being overly focused on theoretical aspects without adequately preparing students for the practical demands of their future careers. Prosser observed that many vocational training programs failed to align with the real conditions of the workplace, leading to a missing link between what students learned, the skills they acquired, and what was required in actual job settings.</w:t>
      </w:r>
    </w:p>
    <w:p w:rsidR="005D48B0" w:rsidRPr="00210BD3" w:rsidRDefault="005D48B0" w:rsidP="007137CC">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Significance of Theorem 5</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Theorem 5 is profoundly significant in the context of vocational education, primarily because it underscores the importance of practical, experiential learning. In Nigeria, where the growth of industries such as commercial, manufacturing, construction, agriculture, and technology is accelerating, there is a heightened need for vocational graduates who are ready to make immediate contributions to these fields. The theorem advocates for replicating workplace conditions within educational settings, ensuring that students are not only familiar with the theoretical aspects of their trades but are also skilled in the practical tasks required in their professions. </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lastRenderedPageBreak/>
        <w:t>Significantly, by emphasizing the replication of real-work setting, Theorem 5 addresses a critical gap in traditional vocational education. This approach ensures that students are prepared to handle the complexities of their chosen fields, including the operation of industry-specific tools, compliance with safety regulations, and effective workflow management. Eze and Nwosu (2022) highlight that vocational programs closely aligned with current industry standards tend to have higher success rates regarding graduate employability. This alignment means that students who experience training environments mirroring real work conditions are more likely to transition smoothly into their professional roles, ready to tackle practical challenges from day one.</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Furthermore, Theorem 5’s significance extends beyond individual preparedness to include broader economic and developmental impacts. The successful integration of practical learning into vocational education programs contributes to the creation of a skilled labor force that can drive productivity and innovation across key industries. As Umo and Bassey (2023) note, vocational institutions that focus on simulating real-world work environments play a crucial role in national development. They produce graduates who not only meet the immediate demands of the job market but also contribute to long-term economic growth by enhancing the efficiency and effectiveness of various sectors.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practical emphasis of Theorem 5 also aligns with global educational trends that value hands-on </w:t>
      </w:r>
      <w:r w:rsidRPr="00210BD3">
        <w:rPr>
          <w:rFonts w:ascii="Times New Roman" w:eastAsia="Times New Roman" w:hAnsi="Times New Roman" w:cs="Times New Roman"/>
          <w:sz w:val="26"/>
          <w:szCs w:val="26"/>
        </w:rPr>
        <w:lastRenderedPageBreak/>
        <w:t>experience and real-world problem-solving. In an increasingly competitive job market, employers seek candidates who can demonstrate both theoretical knowledge and practical skills. By fostering an educational environment that mirrors industry practices, Theorem 5 helps vocational programs meet these expectations, ensuring that graduates are equipped to succeed in a globalized economy. Theorem 5 holds significant value by bridging the gap between theoretical knowledge and practical application in vocational education. Its focus on replicating workplace conditions ensures that students are not only well-versed in their field’s theory but also proficient in the skills necessary for real-world success. This approach enhances graduate employability, supports national economic development, and aligns with global educational standards, making it a vital framework for modern vocational training.</w:t>
      </w:r>
    </w:p>
    <w:p w:rsidR="005D48B0" w:rsidRPr="00210BD3" w:rsidRDefault="005D48B0" w:rsidP="007137CC">
      <w:pPr>
        <w:spacing w:before="100" w:beforeAutospacing="1"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Replicating Occupational Conditions in Vocational Education</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modern trend in Nigerian vocational education reflects varying degrees of alignment with Theorem 5. Some institutions strive to provide students with authentic learning experiences by incorporating updated equipment, partnerships with industries, and opportunities for internships or on-the-job training. However, significant challenges remain, particularly in funding, outdated curricula, and inadequate infrastructure. Eze and Nwosu (2022) argue that for vocational education in Nigeria to achieve its full potential, institutions must invest in </w:t>
      </w:r>
      <w:r w:rsidRPr="00210BD3">
        <w:rPr>
          <w:rFonts w:ascii="Times New Roman" w:eastAsia="Times New Roman" w:hAnsi="Times New Roman" w:cs="Times New Roman"/>
          <w:sz w:val="26"/>
          <w:szCs w:val="26"/>
        </w:rPr>
        <w:lastRenderedPageBreak/>
        <w:t>modern equipment that mimics contemporary industry tools and processes. This would ensure that graduates are proficient in the technologies and methods they will use on the job.</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One effective approach is the use of industry-based resource persons in the classroom, who bring real-world insights and updates on current workplace practices. Okoro (2020) suggests that inviting experienced industry professionals to train students helps bridge the gap between academic instruction and practical application, creating a more seamless transition from school to work.</w:t>
      </w:r>
    </w:p>
    <w:p w:rsidR="007137CC" w:rsidRDefault="007137CC" w:rsidP="007137CC">
      <w:pPr>
        <w:spacing w:after="0" w:line="240" w:lineRule="auto"/>
        <w:jc w:val="both"/>
        <w:outlineLvl w:val="2"/>
        <w:rPr>
          <w:rFonts w:ascii="Times New Roman" w:eastAsia="Times New Roman" w:hAnsi="Times New Roman" w:cs="Times New Roman"/>
          <w:b/>
          <w:bCs/>
          <w:sz w:val="26"/>
          <w:szCs w:val="26"/>
        </w:rPr>
      </w:pPr>
    </w:p>
    <w:p w:rsidR="005D48B0" w:rsidRPr="00210BD3" w:rsidRDefault="005D48B0" w:rsidP="007137CC">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Implications of Theorem 5 for Modern Vocational Education</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The implications of Theorem 5 for modern vocational education are profound and multifaceted. This theorem underscores the importance of practical, hands-on learning in preparing students for real-world challenges, a perspective that has become increasingly relevant in today's rapidly evolving job market.</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In the contemporary educational landscape, Theorem 5’s focus on replicating workplace conditions within educational settings addresses a critical need for vocational programs to adapt to industry changes. As technology and industry practices advance, vocational training programs must continuously evolve to incorporate the latest tools and methodologies. This ensures that graduates are not only proficient in current techniques but also adaptable to future developments. </w:t>
      </w:r>
      <w:r w:rsidRPr="00210BD3">
        <w:rPr>
          <w:rFonts w:ascii="Times New Roman" w:hAnsi="Times New Roman" w:cs="Times New Roman"/>
          <w:sz w:val="26"/>
          <w:szCs w:val="26"/>
        </w:rPr>
        <w:t xml:space="preserve">According to Oviawe, Uwameiye and Uddin (2017), Nigeria as a country has unique </w:t>
      </w:r>
      <w:r w:rsidRPr="00210BD3">
        <w:rPr>
          <w:rFonts w:ascii="Times New Roman" w:hAnsi="Times New Roman" w:cs="Times New Roman"/>
          <w:sz w:val="26"/>
          <w:szCs w:val="26"/>
        </w:rPr>
        <w:lastRenderedPageBreak/>
        <w:t>distinction of having enormous resources juxtaposed with abject poverty and the solution to this situation is an effective and functional TVET school-workplace collaboration. Oviawe et al added that TVET institutions’ curriculum should emphasize more on work environment habit inculcation into students in order to make them abreast with the emerging trends in the occupation of work as well as school-workplace collaboration for enhancing workplace training.</w:t>
      </w:r>
      <w:r w:rsidRPr="00210BD3">
        <w:rPr>
          <w:rFonts w:ascii="Times New Roman" w:eastAsia="Times New Roman" w:hAnsi="Times New Roman" w:cs="Times New Roman"/>
          <w:sz w:val="26"/>
          <w:szCs w:val="26"/>
        </w:rPr>
        <w:t xml:space="preserve"> Interestingly, TVET institution – Industry collaboration will integrate up-to-date industry practices into vocational curricula enhances student readiness for the workforce, making them more competitive and effective in their roles.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The implementation of Theorem 5 also has significant implications for the alignment between educational outcomes and labor market needs. By emphasizing the replication of occupational conditions, vocational education can better bridge the gap between what is taught and what is required in the workplace. This alignment improves graduate employability, as students trained in environments that closely mimic real work conditions are more likely to transition smoothly into their professional roles. Recent studies by Chen et al (2023) found that higher vocational education colleges that conduct applied research have higher job placement rates for their graduates. This justifies the need for vocational programmes to incorporate industry-standard practices and tools to enhance job placement and career advancement.</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Moreover, Theorem 5 supports the development of a workforce that is not only technically skilled but also </w:t>
      </w:r>
      <w:r w:rsidRPr="00210BD3">
        <w:rPr>
          <w:rFonts w:ascii="Times New Roman" w:eastAsia="Times New Roman" w:hAnsi="Times New Roman" w:cs="Times New Roman"/>
          <w:sz w:val="26"/>
          <w:szCs w:val="26"/>
        </w:rPr>
        <w:lastRenderedPageBreak/>
        <w:t>versatile and resilient. In industries where rapid technological advancements are the norm, the ability to adapt to new tools and methods is crucial. Eze and Nwosu (2022) argue that vocational education programs which emphasize practical experience prepare students to handle the dynamic nature of modern workplaces. This preparedness is essential for fostering a workforce capable of continuous learning and adaptation, which is vital for long-term career success.</w:t>
      </w:r>
    </w:p>
    <w:p w:rsidR="005D48B0" w:rsidRPr="00210BD3" w:rsidRDefault="005D48B0" w:rsidP="007137CC">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relevance of Theorem 5 extends to the broader educational and economic context as well. Vocational education programs that successfully implement this theorem contribute to national economic growth by producing a skilled labor force that meets the needs of key industries. This is particularly important in Nigeria, where economic development is closely tied to the effectiveness of vocational training in meeting industry demands. Umo and Bassey (2023) note that by aligning educational practices with industry standards, vocational education can drive productivity and innovation, thereby supporting overall national development. Theorem 5’s emphasis on practical, experiential learning aligns with global trends in vocational education, where there is a growing recognition of the value of hands-on training. This approach not only enhances the relevance of vocational programs but also ensures that graduates are equipped to meet the challenges of a globalized job market. As industries worldwide increasingly value practical experience and adaptability, vocational education programs that embrace Theorem 5 are </w:t>
      </w:r>
      <w:r w:rsidRPr="00210BD3">
        <w:rPr>
          <w:rFonts w:ascii="Times New Roman" w:eastAsia="Times New Roman" w:hAnsi="Times New Roman" w:cs="Times New Roman"/>
          <w:sz w:val="26"/>
          <w:szCs w:val="26"/>
        </w:rPr>
        <w:lastRenderedPageBreak/>
        <w:t>well-positioned to prepare students for success both locally and internationally.</w:t>
      </w:r>
    </w:p>
    <w:p w:rsidR="005D48B0" w:rsidRPr="00210BD3" w:rsidRDefault="005D48B0" w:rsidP="007137CC">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Enhancing the Effectiveness of Vocational Education</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Individuals, the nation, and the global society can profit optimally by adopting vocational education. Therefore, to maximize the value of vocational education under Theorem 5, several additional elements must be incorporated to ensure that students are prepared to meet the demands of modern industries. First, there must be a renewed emphasis on the use of modern work tools and technologies. As industries evolve with technological advancements, vocational training programs must keep pace by integrating digital tools, automation, and smart technologies into their curricula. For example, in the construction trades, the use of computer-aided design (CAD) software has become essential for professionals to perform accurate and efficient designs. Similarly, in automotive repair, digital diagnostic systems are now a standard feature, and vocational education programs must incorporate training in such tools to stay relevant. </w:t>
      </w:r>
      <w:r w:rsidRPr="00210BD3">
        <w:rPr>
          <w:rFonts w:ascii="Times New Roman" w:hAnsi="Times New Roman" w:cs="Times New Roman"/>
          <w:bCs/>
          <w:sz w:val="26"/>
          <w:szCs w:val="26"/>
        </w:rPr>
        <w:t xml:space="preserve">A study by van der Meer et al. (2019) found that vocational education can contribute to innovation and entrepreneurship, particularly in industries that require specialized skills and knowledge. This </w:t>
      </w:r>
      <w:r w:rsidRPr="00210BD3">
        <w:rPr>
          <w:rFonts w:ascii="Times New Roman" w:eastAsia="Times New Roman" w:hAnsi="Times New Roman" w:cs="Times New Roman"/>
          <w:sz w:val="26"/>
          <w:szCs w:val="26"/>
        </w:rPr>
        <w:t>underscores the importance of aligning vocational education with technological trends, thus ensuring that graduates of vocational education acquire competence in the use of technology in performance of task.</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In addition to technical training, the exposure of students to work ethics, </w:t>
      </w:r>
      <w:r w:rsidRPr="00210BD3">
        <w:rPr>
          <w:rFonts w:ascii="Times New Roman" w:eastAsia="Times New Roman" w:hAnsi="Times New Roman" w:cs="Times New Roman"/>
          <w:sz w:val="26"/>
          <w:szCs w:val="26"/>
        </w:rPr>
        <w:lastRenderedPageBreak/>
        <w:t xml:space="preserve">safety regulations, and workplace standards must be prioritized. Vocational education goes beyond technical skill acquisition; it also involves cultivating the attitudes and behaviors necessary for success in a professional environment. </w:t>
      </w:r>
      <w:r w:rsidRPr="00210BD3">
        <w:rPr>
          <w:rFonts w:ascii="Times New Roman" w:hAnsi="Times New Roman" w:cs="Times New Roman"/>
          <w:bCs/>
          <w:sz w:val="26"/>
          <w:szCs w:val="26"/>
        </w:rPr>
        <w:t xml:space="preserve">Research by Remington (2017) showed that industry partnerships in vocational education can improve the quality of training and increase employment opportunities for graduates. </w:t>
      </w:r>
      <w:r w:rsidRPr="00210BD3">
        <w:rPr>
          <w:rFonts w:ascii="Times New Roman" w:eastAsia="Times New Roman" w:hAnsi="Times New Roman" w:cs="Times New Roman"/>
          <w:sz w:val="26"/>
          <w:szCs w:val="26"/>
        </w:rPr>
        <w:t>This can further instil a strong sense of work habits and enhanced productivity. Employers consistently prioritize candidates who not only possess the necessary skills but who also demonstrate reliability, professionalism, and a commitment to workplace safety. This approach ensures that vocational education graduates are not only technically proficient but also adaptable to the expectations of modern employers.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integration of industry-based resource persons into vocational classrooms is critical to the success of vocational education. Industry experts bring current, practical knowledge into the classroom, offering students insights into real-world industry practices and standards. </w:t>
      </w:r>
      <w:r w:rsidRPr="00210BD3">
        <w:rPr>
          <w:rFonts w:ascii="Times New Roman" w:hAnsi="Times New Roman" w:cs="Times New Roman"/>
          <w:bCs/>
          <w:sz w:val="26"/>
          <w:szCs w:val="26"/>
        </w:rPr>
        <w:t xml:space="preserve">A study by Smith et al. (2020) found that industry-led vocational education can provide students with relevant skills and knowledge that are in demand by employers. This can further be strengthened by engaging </w:t>
      </w:r>
      <w:r w:rsidRPr="00210BD3">
        <w:rPr>
          <w:rFonts w:ascii="Times New Roman" w:eastAsia="Times New Roman" w:hAnsi="Times New Roman" w:cs="Times New Roman"/>
          <w:sz w:val="26"/>
          <w:szCs w:val="26"/>
        </w:rPr>
        <w:t xml:space="preserve">industry professionals into the teaching and learning process. These professionals can provide mentorship, guidance, and up-to-date industry knowledge that enrich the educational experience and ensures that students are equipped with relevant skills. By exposing students to industry expectations and trends early in their </w:t>
      </w:r>
      <w:r w:rsidRPr="00210BD3">
        <w:rPr>
          <w:rFonts w:ascii="Times New Roman" w:eastAsia="Times New Roman" w:hAnsi="Times New Roman" w:cs="Times New Roman"/>
          <w:sz w:val="26"/>
          <w:szCs w:val="26"/>
        </w:rPr>
        <w:lastRenderedPageBreak/>
        <w:t>education, they become better prepared to meet the demands of the job market.</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There is a growing need for vocational education programs to foster innovation and entrepreneurial thinking among students. In many cases, vocational education graduates may find themselves in entrepreneurial roles, particularly in countries like Nigeria, where formal employment opportunities may be limited. Eze and Nwosu (2022) advocate for the incorporation of entrepreneurship training into vocational education curricula, enabling students to apply their technical skills in ways that allow them to create their own business ventures or work as freelancers. Such training empowers students to think critically and creatively about how to apply their vocational skills in a rapidly changing economy.</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Another key factor in enhancing the value of vocational education is the need for enhanced funding and infrastructural development. Vocational institutions in Nigeria and many other developing countries often suffer from inadequate funding, which limits their ability to provide students with up-to-date equipment, modern facilities, and access to high-quality instructors. Adequate funding is necessary to bridge this gap and ensure that vocational education programs are capable of preparing students for the demands of the modern workforce. </w:t>
      </w:r>
      <w:r w:rsidRPr="00210BD3">
        <w:rPr>
          <w:rFonts w:ascii="Times New Roman" w:hAnsi="Times New Roman" w:cs="Times New Roman"/>
          <w:bCs/>
          <w:sz w:val="26"/>
          <w:szCs w:val="26"/>
        </w:rPr>
        <w:t xml:space="preserve">Research by Hanushek et al. (2017) found that vocational education can have a positive impact on economic growth, particularly in countries with strong industry partnerships. Research by Pool et al. (2019) found that vocational education can improve employability and career </w:t>
      </w:r>
      <w:r w:rsidRPr="00210BD3">
        <w:rPr>
          <w:rFonts w:ascii="Times New Roman" w:hAnsi="Times New Roman" w:cs="Times New Roman"/>
          <w:bCs/>
          <w:sz w:val="26"/>
          <w:szCs w:val="26"/>
        </w:rPr>
        <w:lastRenderedPageBreak/>
        <w:t>prospects for graduates, particularly in industries that require specialized skills and knowledge.</w:t>
      </w:r>
      <w:r w:rsidRPr="00210BD3">
        <w:rPr>
          <w:rFonts w:ascii="Times New Roman" w:eastAsia="Times New Roman" w:hAnsi="Times New Roman" w:cs="Times New Roman"/>
          <w:sz w:val="26"/>
          <w:szCs w:val="26"/>
        </w:rPr>
        <w:t xml:space="preserve"> Relevant agencies of governments in any country with the involvement of other stakeholders can make a significant progress in the improvement of vocational education. In this case, public - private sector partnership is needed to invest in vocational education. This will further make a significant impact on the improvement of the quality of training and employability of graduates.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Lastly, creating awareness about the importance of vocational education in national development is critical. Despite the growing recognition of the value of vocational training, it often remains perceived as a second-choice option compared to traditional academic pathways. As Nwogu and Nwanoruo (2011) point out, societal perceptions of vocational education must change to attract more students to these programs and ensure that they are viewed as viable, respected paths to success. Public awareness campaigns, policy advocacy, and community engagement can all play a role in shifting the narrative around vocational education, highlighting its role in driving economic growth, reducing unemployment, and fostering innovation.</w:t>
      </w:r>
    </w:p>
    <w:p w:rsidR="005D48B0" w:rsidRPr="00210BD3" w:rsidRDefault="005D48B0" w:rsidP="007137CC">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Again, in furtherance of this goal, partnerships between government, industry, and educational institutions are essential. These partnerships can help provide the necessary resources, align curricula with industry needs, and promote vocational education as a critical component of national development strategies. By fostering collaboration and dialogue between these </w:t>
      </w:r>
      <w:r w:rsidRPr="00210BD3">
        <w:rPr>
          <w:rFonts w:ascii="Times New Roman" w:eastAsia="Times New Roman" w:hAnsi="Times New Roman" w:cs="Times New Roman"/>
          <w:sz w:val="26"/>
          <w:szCs w:val="26"/>
        </w:rPr>
        <w:lastRenderedPageBreak/>
        <w:t>stakeholders, vocational education can be elevated to a position of prominence within the broader educational landscape. Value addition in the delivery of vocational education under Theorem 5 requires a comprehensive approach that includes modern tools, ethics and safety training, industry collaboration, entrepreneurial education, enhanced funding, and societal awareness. By implementing these strategies, vocational education can be transformed into a dynamic and relevant educational pathway that equips students with the skills, knowledge, and attitudes necessary to thrive in today’s fast-paced and ever-evolving global economy.</w:t>
      </w:r>
    </w:p>
    <w:p w:rsidR="005D48B0" w:rsidRPr="00210BD3" w:rsidRDefault="005D48B0" w:rsidP="007137CC">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A Critique and Evaluation of Theorem 5</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Unarguably, Theorem 5 provides a robust framework for enhancing vocational education but presents several challenges and has garnered some criticisms. One significant critique is the difficulty of fully replicating occupational conditions within an educational setting, especially in resource-constrained institutions. As Okoro (2020) points out, many vocational schools in Nigeria lack the financial resources to maintain up-to-date equipment and technologies. This makes it nearly impossible for these institutions to simulate modern industrial environments accurately, leading to a skill gap between the skills that students acquire in vocational programs and the real-world requirements of employers. The gap between classroom training and workplace demands is a critical issue, limiting the effectiveness of vocational </w:t>
      </w:r>
      <w:r w:rsidRPr="00210BD3">
        <w:rPr>
          <w:rFonts w:ascii="Times New Roman" w:eastAsia="Times New Roman" w:hAnsi="Times New Roman" w:cs="Times New Roman"/>
          <w:sz w:val="26"/>
          <w:szCs w:val="26"/>
        </w:rPr>
        <w:lastRenderedPageBreak/>
        <w:t>education in preparing students for the job market.</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Beyond the challenge of replication, Theorem 5's focus on accurately reflecting occupational conditions might unintentionally neglect the necessity for flexibility and adaptability in vocational training. Industries are rapidly evolving, with fields such as information technology, manufacturing, and healthcare continually undergoing changes. Eze and Nwosu (2022) argue that while it is essential to replicate occupational conditions as closely as possible, vocational education must also prioritize preparing students for continuous learning and adaptation. Students should not only be trained on current tools and processes but also taught how to navigate the introduction of new technologies, work methodologies, and industry trends. This need for adaptability is particularly important in dynamic fields where obsolescence of skills can happen quickly, requiring professionals to engage in lifelong learning and ongoing professional development.</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Another critique of Theorem 5 relates to the difficulty in fostering effective collaborations between vocational institutions and industries. Adebayo and Ekong (2024) emphasize that successful implementation of Theorem 5 depends heavily on strong partnerships between educational institutions and the industries they serve. However, in Nigeria and other developing nations, these collaborations are often weak or nonexistent. Without these critical industry partnerships, vocational institutions struggle to keep their curricula aligned with the latest </w:t>
      </w:r>
      <w:r w:rsidRPr="00210BD3">
        <w:rPr>
          <w:rFonts w:ascii="Times New Roman" w:eastAsia="Times New Roman" w:hAnsi="Times New Roman" w:cs="Times New Roman"/>
          <w:sz w:val="26"/>
          <w:szCs w:val="26"/>
        </w:rPr>
        <w:lastRenderedPageBreak/>
        <w:t>industry standards and students miss out on valuable opportunities for internships, mentorships, and hands-on experiences in real-world occupational settings. These partnerships are essential not only for keeping vocational education relevant but also for ensuring that students transition smoothly from training programs into employment. The absence of such collaborations significantly diminishes the value and impact of vocational education.</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Moreover, some scholars argue that Theorem 5's focus on replication of occupational conditions may limit creativity and innovation within vocational education. When educators focus solely on teaching students to perform existing tasks within a narrowly defined set of occupational conditions, there is a risk that students will be less prepared to think creatively and solve complex problems in new or unfamiliar situations. Oviawe (2018) suggests that vocational education must strike a balance between teaching current industry practices and encouraging students to think critically and innovatively. In this sense, Theorem 5, while important, may need to be expanded to include not just replication but also the cultivation of adaptability, problem-solving, and creative thinking.</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Finally, the limited funding for vocational education, as well as the lack of institutional capacity to foster innovation, further constrains the effective implementation of Theorem 5. According to Ogundele and Olanrewaju (2021), the lack of financial resources and infrastructural support has led to significant challenges in ensuring that vocational institutions are well-equipped </w:t>
      </w:r>
      <w:r w:rsidRPr="00210BD3">
        <w:rPr>
          <w:rFonts w:ascii="Times New Roman" w:eastAsia="Times New Roman" w:hAnsi="Times New Roman" w:cs="Times New Roman"/>
          <w:sz w:val="26"/>
          <w:szCs w:val="26"/>
        </w:rPr>
        <w:lastRenderedPageBreak/>
        <w:t>to deliver high-quality education. The underfunding of vocational programs means that institutions are unable to invest in the latest tools, technologies, and teaching resources necessary for providing a comprehensive education. Without significant investments, both from the government and private sector, the goal of replicating occupational conditions will remain out of reach for many vocational programs.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While Theorem 5 offers a valuable framework for improving vocational education, it must be viewed critically in light of the challenges facing educational institutions, especially in developing countries like Nigeria. Its successful implementation will require not only more robust industry partnerships but also an expanded focus on flexibility, creativity, and adaptability within vocational training. Further research and policy development will be necessary to address the existing limitations and to fully realize the potential of vocational education in preparing students for the complexities of the modern workforce.</w:t>
      </w:r>
    </w:p>
    <w:p w:rsidR="005D48B0" w:rsidRPr="00210BD3" w:rsidRDefault="005D48B0" w:rsidP="007137CC">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Conclusion</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Theorem 5’s emphasis on replicating occupational conditions in vocational education is a powerful principle that, if implemented effectively, can greatly enhance the relevance and quality of vocational training programs. By aligning training environments with the realities of the workplace, vocational education programs can produce graduates who are better prepared to meet the demands of the modern workforce. However, achieving this requires significant investment in infrastructure, modern </w:t>
      </w:r>
      <w:r w:rsidRPr="00210BD3">
        <w:rPr>
          <w:rFonts w:ascii="Times New Roman" w:eastAsia="Times New Roman" w:hAnsi="Times New Roman" w:cs="Times New Roman"/>
          <w:sz w:val="26"/>
          <w:szCs w:val="26"/>
        </w:rPr>
        <w:lastRenderedPageBreak/>
        <w:t>tools, and stronger partnerships with industry. While challenges remain, including funding constraints and the need for more dynamic curricula, Theorem 5 continues to offer valuable insights for improving the delivery of vocational education and contributing to national development in Nigeria.</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Conclusively, Theorem 5 of Charles Prosser’s vocational education principles underscore the critical role of replicating workplace conditions within educational settings to enhance the effectiveness of vocational training. This principle advocates for a practical, hands-on approach that aligns closely with the real-world demands of various industries. The research illustrates that by integrating industry-specific tools, exposing students to relevant work ethics and safety standards, and fostering strong industry partnerships, vocational education programs can significantly improve graduate employability and readiness.</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In the context of Nigeria, where industrial sectors are rapidly evolving, Theorem 5’s emphasis on practical training is particularly relevant. It addresses the need for vocational education to keep pace with technological advancements and changing industry requirements. However, the research also acknowledges challenges such as the difficulty of replicating work environments and the necessity for training programmes to remain flexible and adaptable.</w:t>
      </w:r>
    </w:p>
    <w:p w:rsidR="005D48B0" w:rsidRPr="00210BD3" w:rsidRDefault="005D48B0" w:rsidP="007137CC">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Ultimately, while Theorem 5 provides a robust framework for enhancing vocational education, its successful implementation requires </w:t>
      </w:r>
      <w:r w:rsidRPr="00210BD3">
        <w:rPr>
          <w:rFonts w:ascii="Times New Roman" w:eastAsia="Times New Roman" w:hAnsi="Times New Roman" w:cs="Times New Roman"/>
          <w:sz w:val="26"/>
          <w:szCs w:val="26"/>
        </w:rPr>
        <w:lastRenderedPageBreak/>
        <w:t xml:space="preserve">addressing these challenges and ensuring that training programs are both relevant and responsive to industry needs. By doing so, vocational education can better equip students with the skills and </w:t>
      </w:r>
      <w:r w:rsidRPr="00210BD3">
        <w:rPr>
          <w:rFonts w:ascii="Times New Roman" w:eastAsia="Times New Roman" w:hAnsi="Times New Roman" w:cs="Times New Roman"/>
          <w:sz w:val="26"/>
          <w:szCs w:val="26"/>
        </w:rPr>
        <w:lastRenderedPageBreak/>
        <w:t>knowledge necessary to thrive in the modern workforce, contributing to their personal success and the broader goals of national development.</w:t>
      </w:r>
    </w:p>
    <w:p w:rsidR="007137CC" w:rsidRDefault="007137CC" w:rsidP="007137CC">
      <w:pPr>
        <w:spacing w:line="240" w:lineRule="auto"/>
        <w:jc w:val="both"/>
        <w:rPr>
          <w:rFonts w:ascii="Times New Roman" w:hAnsi="Times New Roman" w:cs="Times New Roman"/>
          <w:b/>
          <w:bCs/>
          <w:sz w:val="26"/>
          <w:szCs w:val="26"/>
        </w:rPr>
        <w:sectPr w:rsidR="007137CC" w:rsidSect="007137CC">
          <w:type w:val="continuous"/>
          <w:pgSz w:w="12240" w:h="15840" w:code="1"/>
          <w:pgMar w:top="1440" w:right="1440" w:bottom="1440" w:left="1440" w:header="706" w:footer="706" w:gutter="0"/>
          <w:cols w:num="2" w:space="708"/>
          <w:docGrid w:linePitch="360"/>
        </w:sectPr>
      </w:pPr>
    </w:p>
    <w:p w:rsidR="007137CC" w:rsidRDefault="007137CC" w:rsidP="007137CC">
      <w:pPr>
        <w:spacing w:after="0" w:line="240" w:lineRule="auto"/>
        <w:jc w:val="both"/>
        <w:rPr>
          <w:rFonts w:ascii="Times New Roman" w:hAnsi="Times New Roman" w:cs="Times New Roman"/>
          <w:b/>
          <w:bCs/>
          <w:sz w:val="26"/>
          <w:szCs w:val="26"/>
        </w:rPr>
      </w:pPr>
    </w:p>
    <w:p w:rsidR="007137CC" w:rsidRDefault="005D48B0" w:rsidP="007137CC">
      <w:pPr>
        <w:spacing w:after="0" w:line="240" w:lineRule="auto"/>
        <w:jc w:val="both"/>
        <w:rPr>
          <w:rFonts w:ascii="Times New Roman" w:hAnsi="Times New Roman" w:cs="Times New Roman"/>
          <w:b/>
          <w:bCs/>
          <w:sz w:val="26"/>
          <w:szCs w:val="26"/>
        </w:rPr>
      </w:pPr>
      <w:r w:rsidRPr="00210BD3">
        <w:rPr>
          <w:rFonts w:ascii="Times New Roman" w:hAnsi="Times New Roman" w:cs="Times New Roman"/>
          <w:b/>
          <w:bCs/>
          <w:sz w:val="26"/>
          <w:szCs w:val="26"/>
        </w:rPr>
        <w:t>References</w:t>
      </w:r>
    </w:p>
    <w:p w:rsidR="00822CCD" w:rsidRDefault="00822CCD" w:rsidP="007137CC">
      <w:pPr>
        <w:spacing w:after="0" w:line="240" w:lineRule="auto"/>
        <w:ind w:left="720" w:hanging="720"/>
        <w:jc w:val="both"/>
        <w:rPr>
          <w:rFonts w:ascii="Times New Roman" w:hAnsi="Times New Roman" w:cs="Times New Roman"/>
          <w:sz w:val="26"/>
          <w:szCs w:val="26"/>
        </w:rPr>
      </w:pP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Adebayo, M., &amp; Ekong, E. (2024). Industry partnerships and vocational</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education in Nigeria: A case study. </w:t>
      </w:r>
      <w:r w:rsidRPr="00210BD3">
        <w:rPr>
          <w:rFonts w:ascii="Times New Roman" w:hAnsi="Times New Roman" w:cs="Times New Roman"/>
          <w:i/>
          <w:sz w:val="26"/>
          <w:szCs w:val="26"/>
        </w:rPr>
        <w:t>Journ</w:t>
      </w:r>
      <w:r w:rsidR="007137CC">
        <w:rPr>
          <w:rFonts w:ascii="Times New Roman" w:hAnsi="Times New Roman" w:cs="Times New Roman"/>
          <w:i/>
          <w:sz w:val="26"/>
          <w:szCs w:val="26"/>
        </w:rPr>
        <w:t xml:space="preserve">al of Vocational Education and </w:t>
      </w:r>
      <w:r w:rsidRPr="00210BD3">
        <w:rPr>
          <w:rFonts w:ascii="Times New Roman" w:hAnsi="Times New Roman" w:cs="Times New Roman"/>
          <w:i/>
          <w:sz w:val="26"/>
          <w:szCs w:val="26"/>
        </w:rPr>
        <w:t>Training</w:t>
      </w:r>
      <w:r w:rsidRPr="00210BD3">
        <w:rPr>
          <w:rFonts w:ascii="Times New Roman" w:hAnsi="Times New Roman" w:cs="Times New Roman"/>
          <w:b/>
          <w:bCs/>
          <w:sz w:val="26"/>
          <w:szCs w:val="26"/>
        </w:rPr>
        <w:t>,</w:t>
      </w:r>
      <w:r w:rsidRPr="00210BD3">
        <w:rPr>
          <w:rFonts w:ascii="Times New Roman" w:hAnsi="Times New Roman" w:cs="Times New Roman"/>
          <w:sz w:val="26"/>
          <w:szCs w:val="26"/>
        </w:rPr>
        <w:t>76(2),135-148.</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Bol, T., de Graaf, P. M., &amp; van der Lippe, T. (2019). The effects of</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vocational education on social mobility. </w:t>
      </w:r>
      <w:r w:rsidRPr="00210BD3">
        <w:rPr>
          <w:rFonts w:ascii="Times New Roman" w:hAnsi="Times New Roman" w:cs="Times New Roman"/>
          <w:bCs/>
          <w:i/>
          <w:sz w:val="26"/>
          <w:szCs w:val="26"/>
        </w:rPr>
        <w:t>Journal of Vocational Education Research, 40</w:t>
      </w:r>
      <w:r w:rsidRPr="00210BD3">
        <w:rPr>
          <w:rFonts w:ascii="Times New Roman" w:hAnsi="Times New Roman" w:cs="Times New Roman"/>
          <w:bCs/>
          <w:sz w:val="26"/>
          <w:szCs w:val="26"/>
        </w:rPr>
        <w:t>(1), 1-18.</w:t>
      </w:r>
    </w:p>
    <w:p w:rsidR="005D48B0" w:rsidRPr="00210BD3" w:rsidRDefault="005D48B0" w:rsidP="00822CCD">
      <w:pPr>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Chen, Y., Jiang, Y., Zheng, A., Yue, Y., &amp; Hu, Z. H. (2023). What research</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bCs/>
          <w:sz w:val="26"/>
          <w:szCs w:val="26"/>
        </w:rPr>
        <w:t>should vocational education colleges conduct? An empirical study using data envelopment analysis.</w:t>
      </w:r>
      <w:r w:rsidRPr="00210BD3">
        <w:rPr>
          <w:rFonts w:ascii="Times New Roman" w:hAnsi="Times New Roman" w:cs="Times New Roman"/>
          <w:bCs/>
          <w:i/>
          <w:sz w:val="26"/>
          <w:szCs w:val="26"/>
        </w:rPr>
        <w:t>Sustainability, 15</w:t>
      </w:r>
      <w:r w:rsidRPr="00210BD3">
        <w:rPr>
          <w:rFonts w:ascii="Times New Roman" w:hAnsi="Times New Roman" w:cs="Times New Roman"/>
          <w:bCs/>
          <w:sz w:val="26"/>
          <w:szCs w:val="26"/>
        </w:rPr>
        <w:t>(12), 9220.</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Eze, C., &amp; Nwosu, I. (2022). Adaptability in vocational education: Aligning</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with industry standards. </w:t>
      </w:r>
      <w:r w:rsidRPr="00210BD3">
        <w:rPr>
          <w:rFonts w:ascii="Times New Roman" w:hAnsi="Times New Roman" w:cs="Times New Roman"/>
          <w:i/>
          <w:sz w:val="26"/>
          <w:szCs w:val="26"/>
        </w:rPr>
        <w:t>Education and Training Journal</w:t>
      </w:r>
      <w:r w:rsidRPr="00210BD3">
        <w:rPr>
          <w:rFonts w:ascii="Times New Roman" w:hAnsi="Times New Roman" w:cs="Times New Roman"/>
          <w:sz w:val="26"/>
          <w:szCs w:val="26"/>
        </w:rPr>
        <w:t xml:space="preserve">, </w:t>
      </w:r>
      <w:r w:rsidRPr="00210BD3">
        <w:rPr>
          <w:rFonts w:ascii="Times New Roman" w:hAnsi="Times New Roman" w:cs="Times New Roman"/>
          <w:i/>
          <w:sz w:val="26"/>
          <w:szCs w:val="26"/>
        </w:rPr>
        <w:t>64</w:t>
      </w:r>
      <w:r w:rsidRPr="00210BD3">
        <w:rPr>
          <w:rFonts w:ascii="Times New Roman" w:hAnsi="Times New Roman" w:cs="Times New Roman"/>
          <w:sz w:val="26"/>
          <w:szCs w:val="26"/>
        </w:rPr>
        <w:t xml:space="preserve">(4), 210-225. </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Eze, N., &amp; Okafor, K. (2022). The role of technology in enhancing vocational</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education outcomes. </w:t>
      </w:r>
      <w:r w:rsidRPr="00210BD3">
        <w:rPr>
          <w:rFonts w:ascii="Times New Roman" w:hAnsi="Times New Roman" w:cs="Times New Roman"/>
          <w:i/>
          <w:sz w:val="26"/>
          <w:szCs w:val="26"/>
        </w:rPr>
        <w:t>Journal of Educational Technology and Development</w:t>
      </w:r>
      <w:r w:rsidRPr="00210BD3">
        <w:rPr>
          <w:rFonts w:ascii="Times New Roman" w:hAnsi="Times New Roman" w:cs="Times New Roman"/>
          <w:sz w:val="26"/>
          <w:szCs w:val="26"/>
        </w:rPr>
        <w:t xml:space="preserve">, </w:t>
      </w:r>
      <w:r w:rsidRPr="00210BD3">
        <w:rPr>
          <w:rFonts w:ascii="Times New Roman" w:hAnsi="Times New Roman" w:cs="Times New Roman"/>
          <w:i/>
          <w:sz w:val="26"/>
          <w:szCs w:val="26"/>
        </w:rPr>
        <w:t>14</w:t>
      </w:r>
      <w:r w:rsidRPr="00210BD3">
        <w:rPr>
          <w:rFonts w:ascii="Times New Roman" w:hAnsi="Times New Roman" w:cs="Times New Roman"/>
          <w:sz w:val="26"/>
          <w:szCs w:val="26"/>
        </w:rPr>
        <w:t xml:space="preserve">(1), 82-95. </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Hanushek, E. A., Schwerdt, G., Wiederhold, S., &amp; Woessmann, L. (2017). General</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education, vocational education, and labor-market outcomes over the lifecycle. </w:t>
      </w:r>
      <w:r w:rsidRPr="00210BD3">
        <w:rPr>
          <w:rFonts w:ascii="Times New Roman" w:hAnsi="Times New Roman" w:cs="Times New Roman"/>
          <w:bCs/>
          <w:i/>
          <w:sz w:val="26"/>
          <w:szCs w:val="26"/>
        </w:rPr>
        <w:t>Journal of Human Resources, 52</w:t>
      </w:r>
      <w:r w:rsidRPr="00210BD3">
        <w:rPr>
          <w:rFonts w:ascii="Times New Roman" w:hAnsi="Times New Roman" w:cs="Times New Roman"/>
          <w:bCs/>
          <w:sz w:val="26"/>
          <w:szCs w:val="26"/>
        </w:rPr>
        <w:t>(1), 48-87.</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Lee, J., Lee, Y., &amp; Kim, B. (2020). The effectiveness of online vocational</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education: A systematic review. </w:t>
      </w:r>
      <w:r w:rsidRPr="00210BD3">
        <w:rPr>
          <w:rFonts w:ascii="Times New Roman" w:hAnsi="Times New Roman" w:cs="Times New Roman"/>
          <w:bCs/>
          <w:i/>
          <w:sz w:val="26"/>
          <w:szCs w:val="26"/>
        </w:rPr>
        <w:t>Journal of Vocational Education Research, 41</w:t>
      </w:r>
      <w:r w:rsidRPr="00210BD3">
        <w:rPr>
          <w:rFonts w:ascii="Times New Roman" w:hAnsi="Times New Roman" w:cs="Times New Roman"/>
          <w:bCs/>
          <w:sz w:val="26"/>
          <w:szCs w:val="26"/>
        </w:rPr>
        <w:t>(1), 1-15.</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Lim, J., &amp; Meer, J. (2020). Persistent effects of teacher-student gender</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matches on student outcomes. </w:t>
      </w:r>
      <w:r w:rsidRPr="00210BD3">
        <w:rPr>
          <w:rFonts w:ascii="Times New Roman" w:hAnsi="Times New Roman" w:cs="Times New Roman"/>
          <w:bCs/>
          <w:i/>
          <w:sz w:val="26"/>
          <w:szCs w:val="26"/>
        </w:rPr>
        <w:t>Journal of Economic Behavior &amp; Organization, 175</w:t>
      </w:r>
      <w:r w:rsidRPr="00210BD3">
        <w:rPr>
          <w:rFonts w:ascii="Times New Roman" w:hAnsi="Times New Roman" w:cs="Times New Roman"/>
          <w:bCs/>
          <w:sz w:val="26"/>
          <w:szCs w:val="26"/>
        </w:rPr>
        <w:t>, 103-115.</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Muehlemann, S., Ryan, P., &amp; Wolter, S. C. (2019). The economics of</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apprenticeships. </w:t>
      </w:r>
      <w:r w:rsidRPr="00210BD3">
        <w:rPr>
          <w:rFonts w:ascii="Times New Roman" w:hAnsi="Times New Roman" w:cs="Times New Roman"/>
          <w:bCs/>
          <w:i/>
          <w:sz w:val="26"/>
          <w:szCs w:val="26"/>
        </w:rPr>
        <w:t>Journal of Economic Surveys, 33</w:t>
      </w:r>
      <w:r w:rsidRPr="00210BD3">
        <w:rPr>
          <w:rFonts w:ascii="Times New Roman" w:hAnsi="Times New Roman" w:cs="Times New Roman"/>
          <w:bCs/>
          <w:sz w:val="26"/>
          <w:szCs w:val="26"/>
        </w:rPr>
        <w:t>(3), 547-565.</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Nwogu, C., &amp; Nwanoruo, C. (2011). Balancing thinking and manipulative skills</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in vocational education. </w:t>
      </w:r>
      <w:r w:rsidRPr="00210BD3">
        <w:rPr>
          <w:rFonts w:ascii="Times New Roman" w:hAnsi="Times New Roman" w:cs="Times New Roman"/>
          <w:i/>
          <w:sz w:val="26"/>
          <w:szCs w:val="26"/>
        </w:rPr>
        <w:t>Nigerian Journal of Vocational Education</w:t>
      </w:r>
      <w:r w:rsidRPr="00210BD3">
        <w:rPr>
          <w:rFonts w:ascii="Times New Roman" w:hAnsi="Times New Roman" w:cs="Times New Roman"/>
          <w:sz w:val="26"/>
          <w:szCs w:val="26"/>
        </w:rPr>
        <w:t xml:space="preserve">, </w:t>
      </w:r>
      <w:r w:rsidRPr="00210BD3">
        <w:rPr>
          <w:rFonts w:ascii="Times New Roman" w:hAnsi="Times New Roman" w:cs="Times New Roman"/>
          <w:i/>
          <w:sz w:val="26"/>
          <w:szCs w:val="26"/>
        </w:rPr>
        <w:t>19</w:t>
      </w:r>
      <w:r w:rsidRPr="00210BD3">
        <w:rPr>
          <w:rFonts w:ascii="Times New Roman" w:hAnsi="Times New Roman" w:cs="Times New Roman"/>
          <w:sz w:val="26"/>
          <w:szCs w:val="26"/>
        </w:rPr>
        <w:t>(2), 76-85.</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Okoro, F. (2020). Challenges in replicating occupational conditions in</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vocational training. </w:t>
      </w:r>
      <w:r w:rsidRPr="00210BD3">
        <w:rPr>
          <w:rFonts w:ascii="Times New Roman" w:hAnsi="Times New Roman" w:cs="Times New Roman"/>
          <w:i/>
          <w:sz w:val="26"/>
          <w:szCs w:val="26"/>
        </w:rPr>
        <w:t>Vocational Education and Training Journal</w:t>
      </w:r>
      <w:r w:rsidRPr="00210BD3">
        <w:rPr>
          <w:rFonts w:ascii="Times New Roman" w:hAnsi="Times New Roman" w:cs="Times New Roman"/>
          <w:sz w:val="26"/>
          <w:szCs w:val="26"/>
        </w:rPr>
        <w:t xml:space="preserve">, </w:t>
      </w:r>
      <w:r w:rsidRPr="00210BD3">
        <w:rPr>
          <w:rFonts w:ascii="Times New Roman" w:hAnsi="Times New Roman" w:cs="Times New Roman"/>
          <w:i/>
          <w:sz w:val="26"/>
          <w:szCs w:val="26"/>
        </w:rPr>
        <w:t>69</w:t>
      </w:r>
      <w:r w:rsidRPr="00210BD3">
        <w:rPr>
          <w:rFonts w:ascii="Times New Roman" w:hAnsi="Times New Roman" w:cs="Times New Roman"/>
          <w:sz w:val="26"/>
          <w:szCs w:val="26"/>
        </w:rPr>
        <w:t xml:space="preserve">(5), 143-158. </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Oviawe, J. I.,  Uwameiye, R. &amp; Uddin, P. S. O. (2017). Bridging skill gap to</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meet technical, vocational education and training school-workplace collaboration in the 21st century. </w:t>
      </w:r>
      <w:r w:rsidRPr="00210BD3">
        <w:rPr>
          <w:rFonts w:ascii="Times New Roman" w:hAnsi="Times New Roman" w:cs="Times New Roman"/>
          <w:i/>
          <w:sz w:val="26"/>
          <w:szCs w:val="26"/>
        </w:rPr>
        <w:t>International Journal of Vocational Education and Training Research, 3</w:t>
      </w:r>
      <w:r w:rsidRPr="00210BD3">
        <w:rPr>
          <w:rFonts w:ascii="Times New Roman" w:hAnsi="Times New Roman" w:cs="Times New Roman"/>
          <w:sz w:val="26"/>
          <w:szCs w:val="26"/>
        </w:rPr>
        <w:t>, 7-14. doi: 10.11648/j.ijvetr.20170301.12</w:t>
      </w:r>
    </w:p>
    <w:p w:rsidR="005D48B0" w:rsidRPr="00210BD3" w:rsidRDefault="005D48B0" w:rsidP="00822CCD">
      <w:pPr>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Pool, L. D., van der Meer, P. H., &amp; van der Lippe, T. (2019). Vocational</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bCs/>
          <w:sz w:val="26"/>
          <w:szCs w:val="26"/>
        </w:rPr>
        <w:t xml:space="preserve">education and employability: A systematic review. </w:t>
      </w:r>
      <w:r w:rsidRPr="00210BD3">
        <w:rPr>
          <w:rFonts w:ascii="Times New Roman" w:hAnsi="Times New Roman" w:cs="Times New Roman"/>
          <w:bCs/>
          <w:i/>
          <w:sz w:val="26"/>
          <w:szCs w:val="26"/>
        </w:rPr>
        <w:t>Journal of Vocational Education Research, 40</w:t>
      </w:r>
      <w:r w:rsidRPr="00210BD3">
        <w:rPr>
          <w:rFonts w:ascii="Times New Roman" w:hAnsi="Times New Roman" w:cs="Times New Roman"/>
          <w:bCs/>
          <w:sz w:val="26"/>
          <w:szCs w:val="26"/>
        </w:rPr>
        <w:t>(2), 149-165.</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Remington, T. F. (2017). Translating the German model of dual education into</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lastRenderedPageBreak/>
        <w:t xml:space="preserve">public-private partnerships. </w:t>
      </w:r>
      <w:r w:rsidRPr="00210BD3">
        <w:rPr>
          <w:rFonts w:ascii="Times New Roman" w:hAnsi="Times New Roman" w:cs="Times New Roman"/>
          <w:bCs/>
          <w:i/>
          <w:sz w:val="26"/>
          <w:szCs w:val="26"/>
        </w:rPr>
        <w:t>Journal of Vocational Education Research, 38</w:t>
      </w:r>
      <w:r w:rsidRPr="00210BD3">
        <w:rPr>
          <w:rFonts w:ascii="Times New Roman" w:hAnsi="Times New Roman" w:cs="Times New Roman"/>
          <w:bCs/>
          <w:sz w:val="26"/>
          <w:szCs w:val="26"/>
        </w:rPr>
        <w:t>(2), 149-165.</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Smith, E., Smith, P., &amp; Pickersgill, R. (2020). Industry-led vocational</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 xml:space="preserve">education and training: A review of the literature. </w:t>
      </w:r>
      <w:r w:rsidRPr="00210BD3">
        <w:rPr>
          <w:rFonts w:ascii="Times New Roman" w:hAnsi="Times New Roman" w:cs="Times New Roman"/>
          <w:bCs/>
          <w:i/>
          <w:sz w:val="26"/>
          <w:szCs w:val="26"/>
        </w:rPr>
        <w:t>Journal of Vocational Education Research, 41</w:t>
      </w:r>
      <w:r w:rsidRPr="00210BD3">
        <w:rPr>
          <w:rFonts w:ascii="Times New Roman" w:hAnsi="Times New Roman" w:cs="Times New Roman"/>
          <w:bCs/>
          <w:sz w:val="26"/>
          <w:szCs w:val="26"/>
        </w:rPr>
        <w:t>(2), 149-165.</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Umo, A., &amp; Bassey, D. (2023). Vocational education’s contribution to national</w:t>
      </w:r>
    </w:p>
    <w:p w:rsidR="005D48B0" w:rsidRPr="00210BD3" w:rsidRDefault="005D48B0" w:rsidP="00822CCD">
      <w:pPr>
        <w:spacing w:after="0" w:line="240" w:lineRule="auto"/>
        <w:ind w:left="720" w:hanging="720"/>
        <w:jc w:val="both"/>
        <w:rPr>
          <w:rFonts w:ascii="Times New Roman" w:hAnsi="Times New Roman" w:cs="Times New Roman"/>
          <w:sz w:val="26"/>
          <w:szCs w:val="26"/>
        </w:rPr>
      </w:pPr>
      <w:r w:rsidRPr="00210BD3">
        <w:rPr>
          <w:rFonts w:ascii="Times New Roman" w:hAnsi="Times New Roman" w:cs="Times New Roman"/>
          <w:sz w:val="26"/>
          <w:szCs w:val="26"/>
        </w:rPr>
        <w:t xml:space="preserve">development: A Nigerian case study. </w:t>
      </w:r>
      <w:r w:rsidRPr="00210BD3">
        <w:rPr>
          <w:rFonts w:ascii="Times New Roman" w:hAnsi="Times New Roman" w:cs="Times New Roman"/>
          <w:i/>
          <w:sz w:val="26"/>
          <w:szCs w:val="26"/>
        </w:rPr>
        <w:t>Journal of National Development Studies</w:t>
      </w:r>
      <w:r w:rsidRPr="00210BD3">
        <w:rPr>
          <w:rFonts w:ascii="Times New Roman" w:hAnsi="Times New Roman" w:cs="Times New Roman"/>
          <w:sz w:val="26"/>
          <w:szCs w:val="26"/>
        </w:rPr>
        <w:t xml:space="preserve">, </w:t>
      </w:r>
      <w:r w:rsidRPr="00210BD3">
        <w:rPr>
          <w:rFonts w:ascii="Times New Roman" w:hAnsi="Times New Roman" w:cs="Times New Roman"/>
          <w:i/>
          <w:sz w:val="26"/>
          <w:szCs w:val="26"/>
        </w:rPr>
        <w:t>18</w:t>
      </w:r>
      <w:r w:rsidRPr="00210BD3">
        <w:rPr>
          <w:rFonts w:ascii="Times New Roman" w:hAnsi="Times New Roman" w:cs="Times New Roman"/>
          <w:sz w:val="26"/>
          <w:szCs w:val="26"/>
        </w:rPr>
        <w:t xml:space="preserve">(1), 53-68. </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van der Meer, P. H., van der Lippe, T., &amp; Bol, T. (2019). Vocational education</w:t>
      </w:r>
    </w:p>
    <w:p w:rsidR="005D48B0" w:rsidRPr="00210BD3" w:rsidRDefault="005D48B0" w:rsidP="00822CCD">
      <w:pPr>
        <w:autoSpaceDE w:val="0"/>
        <w:autoSpaceDN w:val="0"/>
        <w:adjustRightInd w:val="0"/>
        <w:spacing w:after="0" w:line="240" w:lineRule="auto"/>
        <w:ind w:left="720" w:hanging="720"/>
        <w:jc w:val="both"/>
        <w:rPr>
          <w:rFonts w:ascii="Times New Roman" w:hAnsi="Times New Roman" w:cs="Times New Roman"/>
          <w:bCs/>
          <w:sz w:val="26"/>
          <w:szCs w:val="26"/>
        </w:rPr>
      </w:pPr>
      <w:r w:rsidRPr="00210BD3">
        <w:rPr>
          <w:rFonts w:ascii="Times New Roman" w:hAnsi="Times New Roman" w:cs="Times New Roman"/>
          <w:bCs/>
          <w:sz w:val="26"/>
          <w:szCs w:val="26"/>
        </w:rPr>
        <w:t>and innovation: A systematic review. Journal of Vocational Education Research, 40(3), 301-315.</w:t>
      </w: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hanging="720"/>
        <w:jc w:val="both"/>
        <w:rPr>
          <w:rFonts w:ascii="Times New Roman" w:hAnsi="Times New Roman" w:cs="Times New Roman"/>
          <w:sz w:val="26"/>
          <w:szCs w:val="26"/>
        </w:rPr>
      </w:pPr>
    </w:p>
    <w:p w:rsidR="005D48B0" w:rsidRPr="00210BD3" w:rsidRDefault="005D48B0" w:rsidP="007137CC">
      <w:pPr>
        <w:spacing w:after="0" w:line="240" w:lineRule="auto"/>
        <w:ind w:firstLine="720"/>
        <w:jc w:val="both"/>
        <w:rPr>
          <w:rFonts w:ascii="Times New Roman" w:hAnsi="Times New Roman" w:cs="Times New Roman"/>
          <w:sz w:val="26"/>
          <w:szCs w:val="26"/>
        </w:rPr>
      </w:pPr>
    </w:p>
    <w:p w:rsidR="005D48B0" w:rsidRPr="00210BD3" w:rsidRDefault="005D48B0" w:rsidP="007137CC">
      <w:pPr>
        <w:spacing w:after="0" w:line="240" w:lineRule="auto"/>
        <w:ind w:firstLine="720"/>
        <w:jc w:val="both"/>
        <w:rPr>
          <w:rFonts w:ascii="Times New Roman" w:hAnsi="Times New Roman" w:cs="Times New Roman"/>
          <w:sz w:val="26"/>
          <w:szCs w:val="26"/>
        </w:rPr>
      </w:pPr>
    </w:p>
    <w:p w:rsidR="005D48B0" w:rsidRPr="00210BD3" w:rsidRDefault="005D48B0" w:rsidP="007137CC">
      <w:pPr>
        <w:spacing w:after="0" w:line="240" w:lineRule="auto"/>
        <w:ind w:firstLine="720"/>
        <w:jc w:val="both"/>
        <w:rPr>
          <w:rFonts w:ascii="Times New Roman" w:hAnsi="Times New Roman" w:cs="Times New Roman"/>
          <w:sz w:val="26"/>
          <w:szCs w:val="26"/>
        </w:rPr>
      </w:pPr>
    </w:p>
    <w:p w:rsidR="007137CC" w:rsidRDefault="007137CC">
      <w:pPr>
        <w:rPr>
          <w:rFonts w:ascii="Times New Roman" w:hAnsi="Times New Roman" w:cs="Times New Roman"/>
          <w:sz w:val="26"/>
          <w:szCs w:val="26"/>
        </w:rPr>
      </w:pPr>
      <w:r>
        <w:rPr>
          <w:rFonts w:ascii="Times New Roman" w:hAnsi="Times New Roman" w:cs="Times New Roman"/>
          <w:sz w:val="26"/>
          <w:szCs w:val="26"/>
        </w:rPr>
        <w:br w:type="page"/>
      </w:r>
    </w:p>
    <w:p w:rsidR="005D48B0" w:rsidRPr="00210BD3" w:rsidRDefault="005D48B0" w:rsidP="007137CC">
      <w:pPr>
        <w:spacing w:before="100" w:beforeAutospacing="1" w:after="100" w:afterAutospacing="1" w:line="240" w:lineRule="auto"/>
        <w:jc w:val="center"/>
        <w:rPr>
          <w:rFonts w:ascii="Times New Roman" w:hAnsi="Times New Roman" w:cs="Times New Roman"/>
          <w:b/>
          <w:sz w:val="26"/>
          <w:szCs w:val="26"/>
        </w:rPr>
      </w:pPr>
      <w:r w:rsidRPr="00210BD3">
        <w:rPr>
          <w:rFonts w:ascii="Times New Roman" w:hAnsi="Times New Roman" w:cs="Times New Roman"/>
          <w:b/>
          <w:sz w:val="26"/>
          <w:szCs w:val="26"/>
        </w:rPr>
        <w:lastRenderedPageBreak/>
        <w:t>Raising Business Consciousness among Secondary School Students: Curriculum and Pedagogical Perspectives</w:t>
      </w:r>
    </w:p>
    <w:p w:rsidR="005D48B0" w:rsidRPr="00210BD3" w:rsidRDefault="005D48B0" w:rsidP="007137CC">
      <w:pPr>
        <w:spacing w:after="0" w:line="240" w:lineRule="auto"/>
        <w:jc w:val="center"/>
        <w:rPr>
          <w:rFonts w:ascii="Times New Roman" w:eastAsia="Calibri" w:hAnsi="Times New Roman" w:cs="Times New Roman"/>
          <w:b/>
          <w:sz w:val="26"/>
          <w:szCs w:val="26"/>
        </w:rPr>
      </w:pPr>
      <w:r w:rsidRPr="00210BD3">
        <w:rPr>
          <w:rFonts w:ascii="Times New Roman" w:eastAsia="Calibri" w:hAnsi="Times New Roman" w:cs="Times New Roman"/>
          <w:b/>
          <w:sz w:val="26"/>
          <w:szCs w:val="26"/>
        </w:rPr>
        <w:t>Asuquo F. Akposi</w:t>
      </w:r>
    </w:p>
    <w:p w:rsidR="005D48B0" w:rsidRPr="00210BD3" w:rsidRDefault="005D48B0"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Department of Business Education</w:t>
      </w:r>
    </w:p>
    <w:p w:rsidR="005D48B0" w:rsidRPr="00210BD3" w:rsidRDefault="005D48B0"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Cross River State College of Education, Akamkpa</w:t>
      </w:r>
    </w:p>
    <w:p w:rsidR="005D48B0" w:rsidRPr="00210BD3" w:rsidRDefault="005D48B0"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sz w:val="26"/>
          <w:szCs w:val="26"/>
        </w:rPr>
        <w:t>(Cross River State University of Education)</w:t>
      </w:r>
    </w:p>
    <w:p w:rsidR="005D48B0" w:rsidRPr="00210BD3" w:rsidRDefault="005D48B0" w:rsidP="007137CC">
      <w:pPr>
        <w:spacing w:after="0" w:line="240" w:lineRule="auto"/>
        <w:jc w:val="center"/>
        <w:rPr>
          <w:rFonts w:ascii="Times New Roman" w:eastAsia="Calibri" w:hAnsi="Times New Roman" w:cs="Times New Roman"/>
          <w:i/>
          <w:sz w:val="26"/>
          <w:szCs w:val="26"/>
        </w:rPr>
      </w:pPr>
      <w:r w:rsidRPr="00210BD3">
        <w:rPr>
          <w:rFonts w:ascii="Times New Roman" w:eastAsia="Calibri" w:hAnsi="Times New Roman" w:cs="Times New Roman"/>
          <w:i/>
          <w:sz w:val="26"/>
          <w:szCs w:val="26"/>
        </w:rPr>
        <w:t>07034489666</w:t>
      </w:r>
    </w:p>
    <w:p w:rsidR="005D48B0" w:rsidRPr="00965216" w:rsidRDefault="00330E99" w:rsidP="007137CC">
      <w:pPr>
        <w:spacing w:after="0" w:line="240" w:lineRule="auto"/>
        <w:jc w:val="center"/>
        <w:rPr>
          <w:sz w:val="26"/>
          <w:szCs w:val="26"/>
        </w:rPr>
      </w:pPr>
      <w:hyperlink r:id="rId64" w:history="1">
        <w:r w:rsidR="005D48B0" w:rsidRPr="00965216">
          <w:rPr>
            <w:rStyle w:val="16"/>
            <w:rFonts w:ascii="Times New Roman" w:eastAsia="Calibri" w:hAnsi="Times New Roman" w:cs="Times New Roman"/>
            <w:color w:val="000000" w:themeColor="text1"/>
            <w:sz w:val="26"/>
            <w:szCs w:val="26"/>
            <w:u w:val="none"/>
          </w:rPr>
          <w:t>akposi2014@gmail.com</w:t>
        </w:r>
      </w:hyperlink>
    </w:p>
    <w:p w:rsidR="00822CCD" w:rsidRPr="00822CCD" w:rsidRDefault="00822CCD" w:rsidP="00822CCD">
      <w:pPr>
        <w:spacing w:after="100" w:afterAutospacing="1" w:line="240" w:lineRule="auto"/>
        <w:ind w:firstLine="3870"/>
        <w:jc w:val="both"/>
        <w:rPr>
          <w:rFonts w:ascii="Times New Roman" w:eastAsia="Times New Roman" w:hAnsi="Times New Roman" w:cs="Times New Roman"/>
          <w:b/>
          <w:bCs/>
          <w:sz w:val="14"/>
          <w:szCs w:val="26"/>
        </w:rPr>
      </w:pPr>
    </w:p>
    <w:p w:rsidR="005D48B0" w:rsidRPr="00210BD3" w:rsidRDefault="005D48B0" w:rsidP="00965216">
      <w:pPr>
        <w:spacing w:before="100" w:beforeAutospacing="1" w:after="100" w:afterAutospacing="1" w:line="240" w:lineRule="auto"/>
        <w:ind w:firstLine="3870"/>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Abstract</w:t>
      </w:r>
      <w:r w:rsidRPr="00210BD3">
        <w:rPr>
          <w:rFonts w:ascii="Times New Roman" w:eastAsia="Times New Roman" w:hAnsi="Times New Roman" w:cs="Times New Roman"/>
          <w:sz w:val="26"/>
          <w:szCs w:val="26"/>
        </w:rPr>
        <w:br/>
        <w:t>This study investigates the promotion of business consciousness among secondary school students through curriculum and pedagogical approaches in Akamkpa Local Government Area of Cross River State, Nigeria. To achieve this aim, two hypotheses were formulated based on the study's objectives. A survey research design was adopted, targeting senior secondary school students. From a population of 3,450 students in public secondary schools, 300 respondents were selected using a random sampling technique. Data were collected using a validated Business Consciousness Questionnaire (BCQ) and analyzed with simple linear regression. The results reveal a significant relationship between the integration of entrepreneurship education into the curriculum and students’ business consciousness, as well as between teachers' mastery of business concepts and students’ business consciousness. The findings emphasize the importance of providing relevant learning materials and resources to promote business awareness and education. Furthermore, professional development programs for teachers should prioritize mastery of business concepts through workshops, training, and capacity-building initiatives. The study recommends that educators and policymakers prioritize entrepreneurship education to foster a culture of business consciousness among Nigerian youth, thereby promoting economic growth and self-reliance. Stakeholders in the education sector should ensure teachers possess strong subject matter expertise, supported by regular training and certification programs in business education to enhance their pedagogical skills and content knowledge.</w:t>
      </w:r>
    </w:p>
    <w:p w:rsidR="005D48B0" w:rsidRPr="00210BD3" w:rsidRDefault="005D48B0" w:rsidP="007137CC">
      <w:pPr>
        <w:spacing w:before="100" w:beforeAutospacing="1" w:after="100" w:afterAutospacing="1"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Keywords:</w:t>
      </w:r>
      <w:r w:rsidRPr="00210BD3">
        <w:rPr>
          <w:rFonts w:ascii="Times New Roman" w:eastAsia="Times New Roman" w:hAnsi="Times New Roman" w:cs="Times New Roman"/>
          <w:sz w:val="26"/>
          <w:szCs w:val="26"/>
        </w:rPr>
        <w:t xml:space="preserve"> Business Consciousness, Secondary School Students, Curriculum, Pedagogy, Entrepreneurship Education</w:t>
      </w:r>
    </w:p>
    <w:p w:rsidR="00965216" w:rsidRDefault="00965216" w:rsidP="00965216">
      <w:pPr>
        <w:spacing w:before="100" w:beforeAutospacing="1" w:after="0" w:line="240" w:lineRule="auto"/>
        <w:jc w:val="both"/>
        <w:rPr>
          <w:rFonts w:ascii="Times New Roman" w:eastAsia="Times New Roman" w:hAnsi="Times New Roman" w:cs="Times New Roman"/>
          <w:b/>
          <w:bCs/>
          <w:sz w:val="26"/>
          <w:szCs w:val="26"/>
        </w:rPr>
        <w:sectPr w:rsidR="00965216" w:rsidSect="00210BD3">
          <w:type w:val="continuous"/>
          <w:pgSz w:w="12240" w:h="15840" w:code="1"/>
          <w:pgMar w:top="1440" w:right="1440" w:bottom="1440" w:left="1440" w:header="706" w:footer="706" w:gutter="0"/>
          <w:cols w:space="708"/>
          <w:docGrid w:linePitch="360"/>
        </w:sectPr>
      </w:pPr>
    </w:p>
    <w:p w:rsidR="005D48B0" w:rsidRPr="00210BD3" w:rsidRDefault="005D48B0" w:rsidP="00822CCD">
      <w:pPr>
        <w:spacing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lastRenderedPageBreak/>
        <w:t>Introduction</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development of business and entrepreneurial skills among secondary school students has become increasingly critical in Nigeria’s efforts to diversify its economy and reduce reliance on oil exports (Afolabi, 2017). Business consciousness, a key element of </w:t>
      </w:r>
      <w:r w:rsidRPr="00210BD3">
        <w:rPr>
          <w:rFonts w:ascii="Times New Roman" w:eastAsia="Times New Roman" w:hAnsi="Times New Roman" w:cs="Times New Roman"/>
          <w:sz w:val="26"/>
          <w:szCs w:val="26"/>
        </w:rPr>
        <w:lastRenderedPageBreak/>
        <w:t xml:space="preserve">entrepreneurship education, fosters innovative thinking, risk management, and problem-solving skills (Ladzani, 2016). However, Nigerian secondary school students often lack sufficient exposure to business education, limiting their potential to become self-reliant contributors to national development </w:t>
      </w:r>
      <w:r w:rsidRPr="00210BD3">
        <w:rPr>
          <w:rFonts w:ascii="Times New Roman" w:eastAsia="Times New Roman" w:hAnsi="Times New Roman" w:cs="Times New Roman"/>
          <w:sz w:val="26"/>
          <w:szCs w:val="26"/>
        </w:rPr>
        <w:lastRenderedPageBreak/>
        <w:t>(Omidan, 2019). Studies consistently indicate that integrating entrepreneurship education into the secondary school curriculum can enhance business consciousness, improve career prospects, and stimulate economic growth (Mwakinyele, 2018). Despite these advantages, business education remains marginalized in many Nigerian schools due to limited resources and inadequately trained teachers.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Teachers are considered critical agents of national transformation, leading to the establishment of teacher training institutions (Kamamia, Ngugi &amp; Thinguri, 2014). Degree programs in various subject areas - including Business Education, with specializations such as Office Technology Management, Accounting, and Marketing - were introduced. To qualify as Business Teacher Educators (BTEs), individuals must not only demonstrate subject mastery but also undergo training in pedagogy (Ijeh, 2017). Teaching Practice (TP), which typically spans a semester, is a core component of BTE training. During TP, supervisors evaluate trainee performance, provide feedback, and document challenges (Jessica &amp; Marianne, 2018). Teaching Practice represents a transition period where trainees are assessed in both subject knowledge and pedagogical competence (Bland &amp; Gareis, 2018).</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success of business education in fostering business consciousness largely depends on the availability of appropriate learning materials. However, many Nigerian secondary schools lack essential resources such as textbooks, educational software, and internet access, which hinder effective instruction </w:t>
      </w:r>
      <w:r w:rsidRPr="00210BD3">
        <w:rPr>
          <w:rFonts w:ascii="Times New Roman" w:eastAsia="Times New Roman" w:hAnsi="Times New Roman" w:cs="Times New Roman"/>
          <w:sz w:val="26"/>
          <w:szCs w:val="26"/>
        </w:rPr>
        <w:lastRenderedPageBreak/>
        <w:t>(Akinsanmi, 2022). This deficiency impairs students' understanding of business concepts and their acquisition of practical entrepreneurial skills. Raising business consciousness requires a multifaceted approach that includes curriculum integration, experiential learning, and the cultivation of innovation (Kola-Olusola, 2020). Strategies such as project-based learning, case studies, and partnerships with local businesses can enhance the effectiveness of business education.</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Pedagogical competence is defined as the ability to influence and transform student behavior through professionally acquired knowledge (Bello, Egunsola &amp; Awak, 2022). Among the various components of pedagogy, this study focuses on three key areas: instructional design (ID), classroom implementation, and continuous assessment techniques (CAT). ID involves developing structured plans using activities, materials, and procedures (Kurt, 2017), while effective implementation requires classroom cohesion and organization (George, Sakirudeen &amp; Sunday, 2011). CAT helps determine the extent to which instructional goals are met. Despite comprehensive training, many novice teachers struggle to apply pedagogical skills in practice (Álvarez, 2015).</w:t>
      </w:r>
    </w:p>
    <w:p w:rsidR="005D48B0" w:rsidRPr="00210BD3" w:rsidRDefault="005D48B0" w:rsidP="00965216">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This study, therefore, investigates how curriculum and pedagogical approaches influence the promotion of business consciousness among secondary school students in Akamkpa LGA. By exploring the link between business education and student consciousness, the research aims to guide educational policy and practice, contributing to the </w:t>
      </w:r>
      <w:r w:rsidRPr="00210BD3">
        <w:rPr>
          <w:rFonts w:ascii="Times New Roman" w:eastAsia="Times New Roman" w:hAnsi="Times New Roman" w:cs="Times New Roman"/>
          <w:sz w:val="26"/>
          <w:szCs w:val="26"/>
        </w:rPr>
        <w:lastRenderedPageBreak/>
        <w:t>development of a more entrepreneurial Nigerian society.</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Curriculum, derived from the Latin </w:t>
      </w:r>
      <w:r w:rsidRPr="00210BD3">
        <w:rPr>
          <w:rFonts w:ascii="Times New Roman" w:eastAsia="Times New Roman" w:hAnsi="Times New Roman" w:cs="Times New Roman"/>
          <w:i/>
          <w:iCs/>
          <w:sz w:val="26"/>
          <w:szCs w:val="26"/>
        </w:rPr>
        <w:t>currere</w:t>
      </w:r>
      <w:r w:rsidRPr="00210BD3">
        <w:rPr>
          <w:rFonts w:ascii="Times New Roman" w:eastAsia="Times New Roman" w:hAnsi="Times New Roman" w:cs="Times New Roman"/>
          <w:sz w:val="26"/>
          <w:szCs w:val="26"/>
        </w:rPr>
        <w:t xml:space="preserve"> (to run a race), implies a planned journey toward educational goals (Offorma, 2015). It is a structured sequence of experiences designed to develop skills and knowledge. Curriculum encompasses teacher-made materials, textbooks, and national and state standards and is subject to periodic revision to remain relevant.</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Pedagogy refers to the art and science of teaching. It involves instructional strategies, learning activities, assessment methods, and teacher-student interactions. Effective pedagogy encourages higher-order thinking, creativity, and critical analysis. It is shaped by educators’ beliefs, cultural understanding, and sensitivity to diverse learning styles (Ndifon &amp; Igwebuike, 2019). In this study, pedagogy is conceptualized as the method through which teachers convey subject matter knowledge, particularly in business education.</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This study is grounded in Icek Ajzen’s Theory of Planned Behavior (TPB), proposed in 1985. The TPB asserts that individual behavior is driven </w:t>
      </w:r>
      <w:r w:rsidRPr="00210BD3">
        <w:rPr>
          <w:rFonts w:ascii="Times New Roman" w:eastAsia="Times New Roman" w:hAnsi="Times New Roman" w:cs="Times New Roman"/>
          <w:sz w:val="26"/>
          <w:szCs w:val="26"/>
        </w:rPr>
        <w:lastRenderedPageBreak/>
        <w:t>by behavioral intentions, which are shaped by three types of beliefs: behavioral, normative, and control beliefs (Ajzen, 1985). Behavioral beliefs relate to attitudes toward the behavior; normative beliefs involve perceived social pressures; and control beliefs pertain to the perceived ease or difficulty of performing the behavior (Ajzen, 1991). The theory’s updated version introduces the concept of "actual behavioral control," which considers whether individuals have the necessary skills and resources to carry out the behavior (Ajzen, 2015).</w:t>
      </w:r>
    </w:p>
    <w:p w:rsidR="00965216" w:rsidRDefault="005D48B0" w:rsidP="00965216">
      <w:pPr>
        <w:spacing w:after="0" w:line="240" w:lineRule="auto"/>
        <w:ind w:firstLine="720"/>
        <w:jc w:val="both"/>
        <w:rPr>
          <w:rFonts w:ascii="Times New Roman" w:eastAsia="Times New Roman" w:hAnsi="Times New Roman" w:cs="Times New Roman"/>
          <w:sz w:val="26"/>
          <w:szCs w:val="26"/>
        </w:rPr>
        <w:sectPr w:rsidR="00965216" w:rsidSect="00965216">
          <w:type w:val="continuous"/>
          <w:pgSz w:w="12240" w:h="15840" w:code="1"/>
          <w:pgMar w:top="1440" w:right="1440" w:bottom="1440" w:left="1440" w:header="706" w:footer="706" w:gutter="0"/>
          <w:cols w:num="2" w:space="708"/>
          <w:docGrid w:linePitch="360"/>
        </w:sectPr>
      </w:pPr>
      <w:r w:rsidRPr="00210BD3">
        <w:rPr>
          <w:rFonts w:ascii="Times New Roman" w:eastAsia="Times New Roman" w:hAnsi="Times New Roman" w:cs="Times New Roman"/>
          <w:sz w:val="26"/>
          <w:szCs w:val="26"/>
        </w:rPr>
        <w:t xml:space="preserve">The TPB provides a useful framework for examining the psychological factors influencing business consciousness among secondary school students. It helps explain how attitudes toward entrepreneurship, social norms, and perceived self-efficacy shape students' intentions to pursue business ventures. By applying this theory, the study explores how business education and awareness campaigns can shift students' attitudes and behaviors. The framework also helps identify barriers and motivators, thereby informing effective interventions to promote entrepreneurship </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lastRenderedPageBreak/>
        <w:t>education.</w:t>
      </w:r>
    </w:p>
    <w:p w:rsidR="00965216" w:rsidRDefault="00965216" w:rsidP="00965216">
      <w:pPr>
        <w:spacing w:after="0" w:line="240" w:lineRule="auto"/>
        <w:jc w:val="both"/>
        <w:rPr>
          <w:rFonts w:ascii="Times New Roman" w:eastAsia="Times New Roman" w:hAnsi="Times New Roman" w:cs="Times New Roman"/>
          <w:b/>
          <w:bCs/>
          <w:sz w:val="26"/>
          <w:szCs w:val="26"/>
        </w:rPr>
      </w:pPr>
    </w:p>
    <w:p w:rsidR="005D48B0" w:rsidRPr="00210BD3" w:rsidRDefault="005D48B0" w:rsidP="00965216">
      <w:pPr>
        <w:spacing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Objectives of the Study</w:t>
      </w:r>
    </w:p>
    <w:p w:rsidR="005D48B0" w:rsidRPr="00210BD3" w:rsidRDefault="005D48B0" w:rsidP="00965216">
      <w:pPr>
        <w:spacing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This study aims to examine the relationship between:</w:t>
      </w:r>
    </w:p>
    <w:p w:rsidR="005D48B0" w:rsidRPr="00210BD3" w:rsidRDefault="005D48B0" w:rsidP="00965216">
      <w:pPr>
        <w:pStyle w:val="ListParagraph"/>
        <w:numPr>
          <w:ilvl w:val="0"/>
          <w:numId w:val="12"/>
        </w:numPr>
        <w:spacing w:after="100" w:afterAutospacing="1" w:line="240" w:lineRule="auto"/>
        <w:ind w:hanging="720"/>
        <w:jc w:val="both"/>
        <w:rPr>
          <w:rFonts w:ascii="Times New Roman" w:hAnsi="Times New Roman"/>
          <w:sz w:val="26"/>
          <w:szCs w:val="26"/>
        </w:rPr>
      </w:pPr>
      <w:r w:rsidRPr="00210BD3">
        <w:rPr>
          <w:rFonts w:ascii="Times New Roman" w:hAnsi="Times New Roman"/>
          <w:sz w:val="26"/>
          <w:szCs w:val="26"/>
        </w:rPr>
        <w:t>The availability of relevant learning materials (curriculum) and the promotion of business consciousness among secondary school students in Akamkpa LGA.</w:t>
      </w:r>
    </w:p>
    <w:p w:rsidR="005D48B0" w:rsidRPr="00210BD3" w:rsidRDefault="005D48B0" w:rsidP="00965216">
      <w:pPr>
        <w:numPr>
          <w:ilvl w:val="0"/>
          <w:numId w:val="12"/>
        </w:numPr>
        <w:spacing w:before="100" w:beforeAutospacing="1" w:after="100" w:afterAutospacing="1" w:line="240" w:lineRule="auto"/>
        <w:ind w:hanging="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Teachers’ mastery of business education concepts and the promotion of business consciousness among secondary school students in Akamkpa LGA.</w:t>
      </w:r>
    </w:p>
    <w:p w:rsidR="00822CCD" w:rsidRDefault="00822CC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5D48B0" w:rsidRPr="00210BD3" w:rsidRDefault="005D48B0" w:rsidP="00965216">
      <w:pPr>
        <w:spacing w:after="0" w:line="240" w:lineRule="auto"/>
        <w:ind w:left="720" w:hanging="720"/>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lastRenderedPageBreak/>
        <w:t>Statement of hypotheses</w:t>
      </w:r>
    </w:p>
    <w:p w:rsidR="005D48B0" w:rsidRPr="00210BD3" w:rsidRDefault="005D48B0" w:rsidP="00965216">
      <w:pPr>
        <w:pStyle w:val="ListParagraph"/>
        <w:numPr>
          <w:ilvl w:val="0"/>
          <w:numId w:val="13"/>
        </w:numPr>
        <w:spacing w:before="0" w:beforeAutospacing="0" w:after="100" w:afterAutospacing="1" w:line="240" w:lineRule="auto"/>
        <w:ind w:hanging="720"/>
        <w:jc w:val="both"/>
        <w:rPr>
          <w:rFonts w:ascii="Times New Roman" w:hAnsi="Times New Roman"/>
          <w:sz w:val="26"/>
          <w:szCs w:val="26"/>
        </w:rPr>
      </w:pPr>
      <w:r w:rsidRPr="00210BD3">
        <w:rPr>
          <w:rFonts w:ascii="Times New Roman" w:hAnsi="Times New Roman"/>
          <w:sz w:val="26"/>
          <w:szCs w:val="26"/>
        </w:rPr>
        <w:t>There is no significant relationship between the availability of relevant learning materials and the promotion of business consciousness among secondary school students in Akamkpa LGA.</w:t>
      </w:r>
    </w:p>
    <w:p w:rsidR="005D48B0" w:rsidRPr="00210BD3" w:rsidRDefault="005D48B0" w:rsidP="00965216">
      <w:pPr>
        <w:numPr>
          <w:ilvl w:val="0"/>
          <w:numId w:val="13"/>
        </w:numPr>
        <w:spacing w:before="100" w:beforeAutospacing="1" w:after="100" w:afterAutospacing="1" w:line="240" w:lineRule="auto"/>
        <w:ind w:hanging="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There is no significant relationship between teachers’ mastery of business education concepts and the promotion of business consciousness among secondary school students in Akamkpa LGA.</w:t>
      </w:r>
    </w:p>
    <w:p w:rsidR="005D48B0" w:rsidRPr="00210BD3" w:rsidRDefault="005D48B0" w:rsidP="00965216">
      <w:pPr>
        <w:spacing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b/>
          <w:bCs/>
          <w:sz w:val="26"/>
          <w:szCs w:val="26"/>
        </w:rPr>
        <w:t>Research methods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This study employed a survey design. The population consisted of 3,450 students in public secondary schools in Akamkpa LGA of Cross River State. A simple random sampling technique was used to select 300 senior secondary school students enrolled in business-related subjects such as Commerce, Economics, and Accounting. Data were collected using the Business Consciousness Questionnaire (BCQ), validated by experts in Educational Psychology, Curriculum and Teaching, Environmental Education, and Test and Measurement at the University of Calabar. A pilot test involving 20 students (not included in the main study) was conducted to establish reliability. Cronbach’s alpha values ranged from .87 to .91, indicating high internal consistency.</w:t>
      </w:r>
    </w:p>
    <w:p w:rsidR="005D48B0" w:rsidRPr="00210BD3" w:rsidRDefault="005D48B0" w:rsidP="00965216">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Prior to data collection, researchers obtained permission from the participating schools and explained the study’s purpose to the students. With the cooperation of teachers, students who gave verbal consent were allowed to participate. All questionnaires were administered and retrieved successfully. The data were coded and analyzed using simple linear regression. The two hypotheses were tested at .05 significance levels, with 1 and 298 degrees of freedom.</w:t>
      </w:r>
    </w:p>
    <w:p w:rsidR="005D48B0" w:rsidRPr="00210BD3" w:rsidRDefault="005D48B0" w:rsidP="007137CC">
      <w:pPr>
        <w:spacing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t xml:space="preserve">Results </w:t>
      </w:r>
    </w:p>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Hypotheses 1</w:t>
      </w:r>
    </w:p>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There is no significant relationship between </w:t>
      </w:r>
      <w:r w:rsidRPr="00210BD3">
        <w:rPr>
          <w:rFonts w:ascii="Times New Roman" w:eastAsia="Calibri" w:hAnsi="Times New Roman" w:cs="Times New Roman"/>
          <w:iCs/>
          <w:sz w:val="26"/>
          <w:szCs w:val="26"/>
        </w:rPr>
        <w:t>availability of relevant learning materials and promotion of business consciousness among secondary school in Akamkpa</w:t>
      </w:r>
      <w:r w:rsidRPr="00210BD3">
        <w:rPr>
          <w:rFonts w:ascii="Times New Roman" w:eastAsia="Calibri" w:hAnsi="Times New Roman" w:cs="Times New Roman"/>
          <w:bCs/>
          <w:iCs/>
          <w:sz w:val="26"/>
          <w:szCs w:val="26"/>
        </w:rPr>
        <w:t xml:space="preserve"> Local Government Area of Cross River State</w:t>
      </w:r>
      <w:r w:rsidRPr="00210BD3">
        <w:rPr>
          <w:rFonts w:ascii="Times New Roman" w:eastAsia="Calibri" w:hAnsi="Times New Roman" w:cs="Times New Roman"/>
          <w:iCs/>
          <w:sz w:val="26"/>
          <w:szCs w:val="26"/>
        </w:rPr>
        <w:t xml:space="preserve">. </w:t>
      </w:r>
      <w:r w:rsidRPr="00210BD3">
        <w:rPr>
          <w:rFonts w:ascii="Times New Roman" w:eastAsia="Calibri" w:hAnsi="Times New Roman" w:cs="Times New Roman"/>
          <w:sz w:val="26"/>
          <w:szCs w:val="26"/>
        </w:rPr>
        <w:t xml:space="preserve">The result of the analysis is shown in Table 1. </w:t>
      </w:r>
    </w:p>
    <w:p w:rsidR="00822CCD" w:rsidRDefault="00822CCD" w:rsidP="007137CC">
      <w:pPr>
        <w:spacing w:after="0" w:line="240" w:lineRule="auto"/>
        <w:jc w:val="center"/>
        <w:rPr>
          <w:rFonts w:ascii="Times New Roman" w:eastAsia="Calibri" w:hAnsi="Times New Roman" w:cs="Times New Roman"/>
          <w:bCs/>
          <w:sz w:val="26"/>
          <w:szCs w:val="26"/>
        </w:rPr>
      </w:pPr>
    </w:p>
    <w:p w:rsidR="005D48B0" w:rsidRPr="00210BD3" w:rsidRDefault="005D48B0"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bCs/>
          <w:sz w:val="26"/>
          <w:szCs w:val="26"/>
        </w:rPr>
        <w:t>Table 1</w:t>
      </w:r>
    </w:p>
    <w:p w:rsidR="005D48B0" w:rsidRDefault="005D48B0" w:rsidP="005667DA">
      <w:pPr>
        <w:spacing w:after="0" w:line="240" w:lineRule="auto"/>
        <w:rPr>
          <w:rFonts w:ascii="Times New Roman" w:eastAsia="Calibri" w:hAnsi="Times New Roman" w:cs="Times New Roman"/>
          <w:bCs/>
          <w:iCs/>
          <w:sz w:val="26"/>
          <w:szCs w:val="26"/>
        </w:rPr>
      </w:pPr>
      <w:r w:rsidRPr="00210BD3">
        <w:rPr>
          <w:rFonts w:ascii="Times New Roman" w:eastAsia="Calibri" w:hAnsi="Times New Roman" w:cs="Times New Roman"/>
          <w:bCs/>
          <w:sz w:val="26"/>
          <w:szCs w:val="26"/>
        </w:rPr>
        <w:t xml:space="preserve">Simple regression analysis of relationship </w:t>
      </w:r>
      <w:r w:rsidRPr="00210BD3">
        <w:rPr>
          <w:rFonts w:ascii="Times New Roman" w:eastAsia="Calibri" w:hAnsi="Times New Roman" w:cs="Times New Roman"/>
          <w:sz w:val="26"/>
          <w:szCs w:val="26"/>
        </w:rPr>
        <w:t xml:space="preserve">between </w:t>
      </w:r>
      <w:r w:rsidRPr="00210BD3">
        <w:rPr>
          <w:rFonts w:ascii="Times New Roman" w:eastAsia="Calibri" w:hAnsi="Times New Roman" w:cs="Times New Roman"/>
          <w:iCs/>
          <w:sz w:val="26"/>
          <w:szCs w:val="26"/>
        </w:rPr>
        <w:t>availability of relevant learning materials and promotion of business consciousness among secondary school in Akamkpa</w:t>
      </w:r>
      <w:r w:rsidRPr="00210BD3">
        <w:rPr>
          <w:rFonts w:ascii="Times New Roman" w:eastAsia="Calibri" w:hAnsi="Times New Roman" w:cs="Times New Roman"/>
          <w:bCs/>
          <w:iCs/>
          <w:sz w:val="26"/>
          <w:szCs w:val="26"/>
        </w:rPr>
        <w:t xml:space="preserve"> Local Government Area of Cross River State</w:t>
      </w:r>
    </w:p>
    <w:p w:rsidR="005667DA" w:rsidRPr="00210BD3" w:rsidRDefault="005667DA" w:rsidP="005667DA">
      <w:pPr>
        <w:spacing w:after="0" w:line="240" w:lineRule="auto"/>
        <w:rPr>
          <w:rFonts w:ascii="Times New Roman" w:eastAsia="Calibri" w:hAnsi="Times New Roman" w:cs="Times New Roman"/>
          <w:bCs/>
          <w:sz w:val="26"/>
          <w:szCs w:val="26"/>
        </w:rPr>
      </w:pPr>
    </w:p>
    <w:tbl>
      <w:tblPr>
        <w:tblW w:w="9090" w:type="dxa"/>
        <w:tblInd w:w="108" w:type="dxa"/>
        <w:tblBorders>
          <w:top w:val="single" w:sz="4" w:space="0" w:color="auto"/>
          <w:bottom w:val="single" w:sz="4" w:space="0" w:color="auto"/>
        </w:tblBorders>
        <w:tblLayout w:type="fixed"/>
        <w:tblCellMar>
          <w:left w:w="0" w:type="dxa"/>
          <w:right w:w="0" w:type="dxa"/>
        </w:tblCellMar>
        <w:tblLook w:val="04A0"/>
      </w:tblPr>
      <w:tblGrid>
        <w:gridCol w:w="69"/>
        <w:gridCol w:w="2650"/>
        <w:gridCol w:w="1469"/>
        <w:gridCol w:w="1010"/>
        <w:gridCol w:w="1392"/>
        <w:gridCol w:w="1010"/>
        <w:gridCol w:w="1490"/>
      </w:tblGrid>
      <w:tr w:rsidR="005D48B0" w:rsidRPr="00210BD3" w:rsidTr="00210BD3">
        <w:trPr>
          <w:cantSplit/>
        </w:trPr>
        <w:tc>
          <w:tcPr>
            <w:tcW w:w="2719" w:type="dxa"/>
            <w:gridSpan w:val="2"/>
            <w:tcBorders>
              <w:top w:val="single" w:sz="4" w:space="0" w:color="auto"/>
              <w:left w:val="nil"/>
              <w:bottom w:val="nil"/>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Source of variation </w:t>
            </w:r>
          </w:p>
        </w:tc>
        <w:tc>
          <w:tcPr>
            <w:tcW w:w="1469" w:type="dxa"/>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SS</w:t>
            </w:r>
          </w:p>
        </w:tc>
        <w:tc>
          <w:tcPr>
            <w:tcW w:w="1010" w:type="dxa"/>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Df</w:t>
            </w:r>
          </w:p>
        </w:tc>
        <w:tc>
          <w:tcPr>
            <w:tcW w:w="1392" w:type="dxa"/>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MS</w:t>
            </w:r>
          </w:p>
        </w:tc>
        <w:tc>
          <w:tcPr>
            <w:tcW w:w="1010" w:type="dxa"/>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F</w:t>
            </w:r>
          </w:p>
        </w:tc>
        <w:tc>
          <w:tcPr>
            <w:tcW w:w="1490" w:type="dxa"/>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p-value</w:t>
            </w:r>
          </w:p>
        </w:tc>
      </w:tr>
      <w:tr w:rsidR="005D48B0" w:rsidRPr="00210BD3" w:rsidTr="00210BD3">
        <w:trPr>
          <w:cantSplit/>
        </w:trPr>
        <w:tc>
          <w:tcPr>
            <w:tcW w:w="69" w:type="dxa"/>
            <w:vMerge w:val="restart"/>
            <w:tcBorders>
              <w:top w:val="single" w:sz="4" w:space="0" w:color="auto"/>
              <w:left w:val="nil"/>
              <w:bottom w:val="single" w:sz="4" w:space="0" w:color="auto"/>
              <w:right w:val="nil"/>
            </w:tcBorders>
            <w:shd w:val="clear" w:color="auto" w:fill="FFFFFF"/>
            <w:vAlign w:val="center"/>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2650"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Regression</w:t>
            </w:r>
          </w:p>
        </w:tc>
        <w:tc>
          <w:tcPr>
            <w:tcW w:w="1469"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88.128</w:t>
            </w:r>
          </w:p>
        </w:tc>
        <w:tc>
          <w:tcPr>
            <w:tcW w:w="1010"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w:t>
            </w:r>
          </w:p>
        </w:tc>
        <w:tc>
          <w:tcPr>
            <w:tcW w:w="1392"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88.128</w:t>
            </w:r>
          </w:p>
        </w:tc>
        <w:tc>
          <w:tcPr>
            <w:tcW w:w="1010"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11.629*</w:t>
            </w:r>
          </w:p>
        </w:tc>
        <w:tc>
          <w:tcPr>
            <w:tcW w:w="1490" w:type="dxa"/>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.000</w:t>
            </w:r>
            <w:r w:rsidRPr="00210BD3">
              <w:rPr>
                <w:rFonts w:ascii="Times New Roman" w:eastAsia="Calibri" w:hAnsi="Times New Roman" w:cs="Times New Roman"/>
                <w:sz w:val="26"/>
                <w:szCs w:val="26"/>
                <w:vertAlign w:val="superscript"/>
              </w:rPr>
              <w:t>b</w:t>
            </w:r>
          </w:p>
        </w:tc>
      </w:tr>
      <w:tr w:rsidR="005D48B0" w:rsidRPr="00210BD3" w:rsidTr="00210BD3">
        <w:trPr>
          <w:cantSplit/>
        </w:trPr>
        <w:tc>
          <w:tcPr>
            <w:tcW w:w="2719" w:type="dxa"/>
            <w:vMerge/>
            <w:tcBorders>
              <w:top w:val="single" w:sz="4" w:space="0" w:color="auto"/>
              <w:left w:val="nil"/>
              <w:bottom w:val="single" w:sz="4" w:space="0" w:color="auto"/>
              <w:right w:val="nil"/>
            </w:tcBorders>
            <w:vAlign w:val="center"/>
            <w:hideMark/>
          </w:tcPr>
          <w:p w:rsidR="005D48B0" w:rsidRPr="00210BD3" w:rsidRDefault="005D48B0" w:rsidP="007137CC">
            <w:pPr>
              <w:spacing w:after="0" w:line="240" w:lineRule="auto"/>
              <w:rPr>
                <w:rFonts w:ascii="Times New Roman" w:eastAsia="Calibri" w:hAnsi="Times New Roman" w:cs="Times New Roman"/>
                <w:sz w:val="26"/>
                <w:szCs w:val="26"/>
              </w:rPr>
            </w:pPr>
          </w:p>
        </w:tc>
        <w:tc>
          <w:tcPr>
            <w:tcW w:w="2650" w:type="dxa"/>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Residual</w:t>
            </w:r>
          </w:p>
        </w:tc>
        <w:tc>
          <w:tcPr>
            <w:tcW w:w="1469" w:type="dxa"/>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22354.090</w:t>
            </w:r>
          </w:p>
        </w:tc>
        <w:tc>
          <w:tcPr>
            <w:tcW w:w="1010" w:type="dxa"/>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298</w:t>
            </w:r>
          </w:p>
        </w:tc>
        <w:tc>
          <w:tcPr>
            <w:tcW w:w="1392" w:type="dxa"/>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6.227</w:t>
            </w:r>
          </w:p>
        </w:tc>
        <w:tc>
          <w:tcPr>
            <w:tcW w:w="1010" w:type="dxa"/>
            <w:tcBorders>
              <w:top w:val="nil"/>
              <w:left w:val="nil"/>
              <w:bottom w:val="nil"/>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1490" w:type="dxa"/>
            <w:tcBorders>
              <w:top w:val="nil"/>
              <w:left w:val="nil"/>
              <w:bottom w:val="nil"/>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r>
      <w:tr w:rsidR="005D48B0" w:rsidRPr="00210BD3" w:rsidTr="00210BD3">
        <w:trPr>
          <w:cantSplit/>
        </w:trPr>
        <w:tc>
          <w:tcPr>
            <w:tcW w:w="2719" w:type="dxa"/>
            <w:vMerge/>
            <w:tcBorders>
              <w:top w:val="single" w:sz="4" w:space="0" w:color="auto"/>
              <w:left w:val="nil"/>
              <w:bottom w:val="single" w:sz="4" w:space="0" w:color="auto"/>
              <w:right w:val="nil"/>
            </w:tcBorders>
            <w:vAlign w:val="center"/>
            <w:hideMark/>
          </w:tcPr>
          <w:p w:rsidR="005D48B0" w:rsidRPr="00210BD3" w:rsidRDefault="005D48B0" w:rsidP="007137CC">
            <w:pPr>
              <w:spacing w:after="0" w:line="240" w:lineRule="auto"/>
              <w:rPr>
                <w:rFonts w:ascii="Times New Roman" w:eastAsia="Calibri" w:hAnsi="Times New Roman" w:cs="Times New Roman"/>
                <w:sz w:val="26"/>
                <w:szCs w:val="26"/>
              </w:rPr>
            </w:pPr>
          </w:p>
        </w:tc>
        <w:tc>
          <w:tcPr>
            <w:tcW w:w="2650" w:type="dxa"/>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Total</w:t>
            </w:r>
          </w:p>
        </w:tc>
        <w:tc>
          <w:tcPr>
            <w:tcW w:w="1469" w:type="dxa"/>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2442.218</w:t>
            </w:r>
          </w:p>
        </w:tc>
        <w:tc>
          <w:tcPr>
            <w:tcW w:w="1010" w:type="dxa"/>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299</w:t>
            </w:r>
          </w:p>
        </w:tc>
        <w:tc>
          <w:tcPr>
            <w:tcW w:w="1392" w:type="dxa"/>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1010" w:type="dxa"/>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1490" w:type="dxa"/>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r>
    </w:tbl>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*Significant at .05 level, Adj. R</w:t>
      </w:r>
      <w:r w:rsidRPr="00210BD3">
        <w:rPr>
          <w:rFonts w:ascii="Times New Roman" w:eastAsia="Calibri" w:hAnsi="Times New Roman" w:cs="Times New Roman"/>
          <w:sz w:val="26"/>
          <w:szCs w:val="26"/>
          <w:vertAlign w:val="superscript"/>
        </w:rPr>
        <w:t>2</w:t>
      </w:r>
      <w:r w:rsidRPr="00210BD3">
        <w:rPr>
          <w:rFonts w:ascii="Times New Roman" w:eastAsia="Calibri" w:hAnsi="Times New Roman" w:cs="Times New Roman"/>
          <w:sz w:val="26"/>
          <w:szCs w:val="26"/>
        </w:rPr>
        <w:t>=.109</w:t>
      </w:r>
    </w:p>
    <w:p w:rsidR="005D48B0" w:rsidRPr="00210BD3" w:rsidRDefault="005D48B0" w:rsidP="007137CC">
      <w:pPr>
        <w:spacing w:line="240" w:lineRule="auto"/>
        <w:jc w:val="both"/>
        <w:rPr>
          <w:rFonts w:ascii="Times New Roman" w:hAnsi="Times New Roman" w:cs="Times New Roman"/>
          <w:sz w:val="26"/>
          <w:szCs w:val="26"/>
        </w:rPr>
      </w:pPr>
      <w:r w:rsidRPr="00210BD3">
        <w:rPr>
          <w:rFonts w:ascii="Times New Roman" w:hAnsi="Times New Roman" w:cs="Times New Roman"/>
          <w:sz w:val="26"/>
          <w:szCs w:val="26"/>
        </w:rPr>
        <w:t xml:space="preserve">To analyze the data in Table 1, simple linear regression analysis was employed. The results indicate that the adjusted R² value is 0.109, suggesting that 10.9% of the variance </w:t>
      </w:r>
      <w:r w:rsidRPr="00210BD3">
        <w:rPr>
          <w:rFonts w:ascii="Times New Roman" w:hAnsi="Times New Roman" w:cs="Times New Roman"/>
          <w:sz w:val="26"/>
          <w:szCs w:val="26"/>
        </w:rPr>
        <w:lastRenderedPageBreak/>
        <w:t xml:space="preserve">in the promotion of business consciousness among secondary school students can be attributed to the availability of relevant learning materials. Although the percentage contribution appears modest, the regression model is statistically significant, F (1, 298) = 11.629, </w:t>
      </w:r>
      <w:r w:rsidRPr="00210BD3">
        <w:rPr>
          <w:rStyle w:val="Emphasis"/>
          <w:rFonts w:ascii="Times New Roman" w:hAnsi="Times New Roman" w:cs="Times New Roman"/>
          <w:sz w:val="26"/>
          <w:szCs w:val="26"/>
        </w:rPr>
        <w:t>p</w:t>
      </w:r>
      <w:r w:rsidRPr="00210BD3">
        <w:rPr>
          <w:rFonts w:ascii="Times New Roman" w:hAnsi="Times New Roman" w:cs="Times New Roman"/>
          <w:sz w:val="26"/>
          <w:szCs w:val="26"/>
        </w:rPr>
        <w:t xml:space="preserve">&lt; .05. Since </w:t>
      </w:r>
      <w:r w:rsidRPr="00210BD3">
        <w:rPr>
          <w:rStyle w:val="Emphasis"/>
          <w:rFonts w:ascii="Times New Roman" w:hAnsi="Times New Roman" w:cs="Times New Roman"/>
          <w:sz w:val="26"/>
          <w:szCs w:val="26"/>
        </w:rPr>
        <w:t>p</w:t>
      </w:r>
      <w:r w:rsidRPr="00210BD3">
        <w:rPr>
          <w:rFonts w:ascii="Times New Roman" w:hAnsi="Times New Roman" w:cs="Times New Roman"/>
          <w:sz w:val="26"/>
          <w:szCs w:val="26"/>
        </w:rPr>
        <w:t xml:space="preserve"> (.000) is less than the significance level of .05, there is a significant relationship between the availability of relevant learning materials and the promotion of business consciousness among secondary school students in Akamkpa Local Government Area of Cross River State. Consequently, the null hypothesis is rejected, and the alternative hypothesis is accepted.</w:t>
      </w:r>
    </w:p>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Hypotheses 2</w:t>
      </w:r>
    </w:p>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There is no significant relationship between </w:t>
      </w:r>
      <w:r w:rsidRPr="00210BD3">
        <w:rPr>
          <w:rFonts w:ascii="Times New Roman" w:eastAsia="Calibri" w:hAnsi="Times New Roman" w:cs="Times New Roman"/>
          <w:iCs/>
          <w:sz w:val="26"/>
          <w:szCs w:val="26"/>
        </w:rPr>
        <w:t xml:space="preserve">teachers’ mastery of business education concepts and promotion of business consciousness </w:t>
      </w:r>
      <w:r w:rsidRPr="00210BD3">
        <w:rPr>
          <w:rFonts w:ascii="Times New Roman" w:eastAsia="Calibri" w:hAnsi="Times New Roman" w:cs="Times New Roman"/>
          <w:iCs/>
          <w:sz w:val="26"/>
          <w:szCs w:val="26"/>
        </w:rPr>
        <w:tab/>
        <w:t xml:space="preserve">among </w:t>
      </w:r>
      <w:r w:rsidRPr="00210BD3">
        <w:rPr>
          <w:rFonts w:ascii="Times New Roman" w:eastAsia="Calibri" w:hAnsi="Times New Roman" w:cs="Times New Roman"/>
          <w:iCs/>
          <w:sz w:val="26"/>
          <w:szCs w:val="26"/>
        </w:rPr>
        <w:tab/>
        <w:t>secondary school in Akamkpa</w:t>
      </w:r>
      <w:r w:rsidRPr="00210BD3">
        <w:rPr>
          <w:rFonts w:ascii="Times New Roman" w:eastAsia="Calibri" w:hAnsi="Times New Roman" w:cs="Times New Roman"/>
          <w:bCs/>
          <w:iCs/>
          <w:sz w:val="26"/>
          <w:szCs w:val="26"/>
        </w:rPr>
        <w:t xml:space="preserve"> Local Government Area of Cross River State</w:t>
      </w:r>
      <w:r w:rsidRPr="00210BD3">
        <w:rPr>
          <w:rFonts w:ascii="Times New Roman" w:eastAsia="Calibri" w:hAnsi="Times New Roman" w:cs="Times New Roman"/>
          <w:iCs/>
          <w:sz w:val="26"/>
          <w:szCs w:val="26"/>
        </w:rPr>
        <w:t>.</w:t>
      </w:r>
      <w:r w:rsidRPr="00210BD3">
        <w:rPr>
          <w:rFonts w:ascii="Times New Roman" w:eastAsia="Calibri" w:hAnsi="Times New Roman" w:cs="Times New Roman"/>
          <w:sz w:val="26"/>
          <w:szCs w:val="26"/>
        </w:rPr>
        <w:t xml:space="preserve">The result of the analysis is shown in Table 2. </w:t>
      </w:r>
    </w:p>
    <w:p w:rsidR="005D48B0" w:rsidRPr="00210BD3" w:rsidRDefault="005D48B0" w:rsidP="007137CC">
      <w:pPr>
        <w:spacing w:after="0" w:line="240" w:lineRule="auto"/>
        <w:rPr>
          <w:rFonts w:ascii="Times New Roman" w:eastAsia="Calibri" w:hAnsi="Times New Roman" w:cs="Times New Roman"/>
          <w:bCs/>
          <w:sz w:val="26"/>
          <w:szCs w:val="26"/>
        </w:rPr>
      </w:pPr>
    </w:p>
    <w:p w:rsidR="005D48B0" w:rsidRPr="00210BD3" w:rsidRDefault="005D48B0" w:rsidP="007137CC">
      <w:pPr>
        <w:spacing w:after="0" w:line="240" w:lineRule="auto"/>
        <w:jc w:val="center"/>
        <w:rPr>
          <w:rFonts w:ascii="Times New Roman" w:eastAsia="Calibri" w:hAnsi="Times New Roman" w:cs="Times New Roman"/>
          <w:sz w:val="26"/>
          <w:szCs w:val="26"/>
        </w:rPr>
      </w:pPr>
      <w:r w:rsidRPr="00210BD3">
        <w:rPr>
          <w:rFonts w:ascii="Times New Roman" w:eastAsia="Calibri" w:hAnsi="Times New Roman" w:cs="Times New Roman"/>
          <w:bCs/>
          <w:sz w:val="26"/>
          <w:szCs w:val="26"/>
        </w:rPr>
        <w:t>Table 1</w:t>
      </w:r>
    </w:p>
    <w:p w:rsidR="005D48B0" w:rsidRDefault="005D48B0" w:rsidP="005667DA">
      <w:pPr>
        <w:spacing w:after="0" w:line="240" w:lineRule="auto"/>
        <w:rPr>
          <w:rFonts w:ascii="Times New Roman" w:eastAsia="Calibri" w:hAnsi="Times New Roman" w:cs="Times New Roman"/>
          <w:bCs/>
          <w:iCs/>
          <w:sz w:val="26"/>
          <w:szCs w:val="26"/>
        </w:rPr>
      </w:pPr>
      <w:r w:rsidRPr="00210BD3">
        <w:rPr>
          <w:rFonts w:ascii="Times New Roman" w:eastAsia="Calibri" w:hAnsi="Times New Roman" w:cs="Times New Roman"/>
          <w:bCs/>
          <w:sz w:val="26"/>
          <w:szCs w:val="26"/>
        </w:rPr>
        <w:t xml:space="preserve">Simple regression analysis of </w:t>
      </w:r>
      <w:r w:rsidRPr="00210BD3">
        <w:rPr>
          <w:rFonts w:ascii="Times New Roman" w:eastAsia="Calibri" w:hAnsi="Times New Roman" w:cs="Times New Roman"/>
          <w:sz w:val="26"/>
          <w:szCs w:val="26"/>
        </w:rPr>
        <w:t xml:space="preserve">relationship between </w:t>
      </w:r>
      <w:r w:rsidRPr="00210BD3">
        <w:rPr>
          <w:rFonts w:ascii="Times New Roman" w:eastAsia="Calibri" w:hAnsi="Times New Roman" w:cs="Times New Roman"/>
          <w:iCs/>
          <w:sz w:val="26"/>
          <w:szCs w:val="26"/>
        </w:rPr>
        <w:t>teachers’ mastery of business education concepts and promotion of</w:t>
      </w:r>
      <w:r w:rsidR="005667DA">
        <w:rPr>
          <w:rFonts w:ascii="Times New Roman" w:eastAsia="Calibri" w:hAnsi="Times New Roman" w:cs="Times New Roman"/>
          <w:iCs/>
          <w:sz w:val="26"/>
          <w:szCs w:val="26"/>
        </w:rPr>
        <w:t xml:space="preserve"> business consciousness </w:t>
      </w:r>
      <w:r w:rsidR="005667DA">
        <w:rPr>
          <w:rFonts w:ascii="Times New Roman" w:eastAsia="Calibri" w:hAnsi="Times New Roman" w:cs="Times New Roman"/>
          <w:iCs/>
          <w:sz w:val="26"/>
          <w:szCs w:val="26"/>
        </w:rPr>
        <w:tab/>
        <w:t xml:space="preserve">among </w:t>
      </w:r>
      <w:r w:rsidRPr="00210BD3">
        <w:rPr>
          <w:rFonts w:ascii="Times New Roman" w:eastAsia="Calibri" w:hAnsi="Times New Roman" w:cs="Times New Roman"/>
          <w:iCs/>
          <w:sz w:val="26"/>
          <w:szCs w:val="26"/>
        </w:rPr>
        <w:t>secondary school in Akamkpa</w:t>
      </w:r>
      <w:r w:rsidRPr="00210BD3">
        <w:rPr>
          <w:rFonts w:ascii="Times New Roman" w:eastAsia="Calibri" w:hAnsi="Times New Roman" w:cs="Times New Roman"/>
          <w:bCs/>
          <w:iCs/>
          <w:sz w:val="26"/>
          <w:szCs w:val="26"/>
        </w:rPr>
        <w:t xml:space="preserve"> Local Government Area of Cross River State</w:t>
      </w:r>
    </w:p>
    <w:p w:rsidR="005667DA" w:rsidRPr="00210BD3" w:rsidRDefault="005667DA" w:rsidP="005667DA">
      <w:pPr>
        <w:spacing w:after="0" w:line="240" w:lineRule="auto"/>
        <w:rPr>
          <w:rFonts w:ascii="Times New Roman" w:eastAsia="Calibri" w:hAnsi="Times New Roman" w:cs="Times New Roman"/>
          <w:bCs/>
          <w:sz w:val="26"/>
          <w:szCs w:val="26"/>
        </w:rPr>
      </w:pPr>
    </w:p>
    <w:tbl>
      <w:tblPr>
        <w:tblW w:w="5000" w:type="pct"/>
        <w:tblBorders>
          <w:top w:val="single" w:sz="4" w:space="0" w:color="auto"/>
          <w:bottom w:val="single" w:sz="4" w:space="0" w:color="auto"/>
        </w:tblBorders>
        <w:tblCellMar>
          <w:left w:w="0" w:type="dxa"/>
          <w:right w:w="0" w:type="dxa"/>
        </w:tblCellMar>
        <w:tblLook w:val="04A0"/>
      </w:tblPr>
      <w:tblGrid>
        <w:gridCol w:w="71"/>
        <w:gridCol w:w="2729"/>
        <w:gridCol w:w="1513"/>
        <w:gridCol w:w="1041"/>
        <w:gridCol w:w="1434"/>
        <w:gridCol w:w="1041"/>
        <w:gridCol w:w="1531"/>
      </w:tblGrid>
      <w:tr w:rsidR="005D48B0" w:rsidRPr="00210BD3" w:rsidTr="005667DA">
        <w:trPr>
          <w:cantSplit/>
        </w:trPr>
        <w:tc>
          <w:tcPr>
            <w:tcW w:w="1496" w:type="pct"/>
            <w:gridSpan w:val="2"/>
            <w:tcBorders>
              <w:top w:val="single" w:sz="4" w:space="0" w:color="auto"/>
              <w:left w:val="nil"/>
              <w:bottom w:val="nil"/>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Source of variation </w:t>
            </w:r>
          </w:p>
        </w:tc>
        <w:tc>
          <w:tcPr>
            <w:tcW w:w="808" w:type="pct"/>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SS</w:t>
            </w:r>
          </w:p>
        </w:tc>
        <w:tc>
          <w:tcPr>
            <w:tcW w:w="556" w:type="pct"/>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Df</w:t>
            </w:r>
          </w:p>
        </w:tc>
        <w:tc>
          <w:tcPr>
            <w:tcW w:w="766" w:type="pct"/>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MS</w:t>
            </w:r>
          </w:p>
        </w:tc>
        <w:tc>
          <w:tcPr>
            <w:tcW w:w="556" w:type="pct"/>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F</w:t>
            </w:r>
          </w:p>
        </w:tc>
        <w:tc>
          <w:tcPr>
            <w:tcW w:w="820" w:type="pct"/>
            <w:tcBorders>
              <w:top w:val="single" w:sz="4" w:space="0" w:color="auto"/>
              <w:left w:val="nil"/>
              <w:bottom w:val="single" w:sz="4" w:space="0" w:color="auto"/>
              <w:right w:val="nil"/>
            </w:tcBorders>
            <w:shd w:val="clear" w:color="auto" w:fill="FFFFFF"/>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p-value</w:t>
            </w:r>
          </w:p>
        </w:tc>
      </w:tr>
      <w:tr w:rsidR="005D48B0" w:rsidRPr="00210BD3" w:rsidTr="005667DA">
        <w:trPr>
          <w:cantSplit/>
        </w:trPr>
        <w:tc>
          <w:tcPr>
            <w:tcW w:w="38" w:type="pct"/>
            <w:vMerge w:val="restart"/>
            <w:tcBorders>
              <w:top w:val="single" w:sz="4" w:space="0" w:color="auto"/>
              <w:left w:val="nil"/>
              <w:bottom w:val="single" w:sz="4" w:space="0" w:color="auto"/>
              <w:right w:val="nil"/>
            </w:tcBorders>
            <w:shd w:val="clear" w:color="auto" w:fill="FFFFFF"/>
            <w:vAlign w:val="center"/>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1458"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Regression</w:t>
            </w:r>
          </w:p>
        </w:tc>
        <w:tc>
          <w:tcPr>
            <w:tcW w:w="808"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107.332</w:t>
            </w:r>
          </w:p>
        </w:tc>
        <w:tc>
          <w:tcPr>
            <w:tcW w:w="556"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w:t>
            </w:r>
          </w:p>
        </w:tc>
        <w:tc>
          <w:tcPr>
            <w:tcW w:w="766"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107.332</w:t>
            </w:r>
          </w:p>
        </w:tc>
        <w:tc>
          <w:tcPr>
            <w:tcW w:w="556"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14.912*</w:t>
            </w:r>
          </w:p>
        </w:tc>
        <w:tc>
          <w:tcPr>
            <w:tcW w:w="820" w:type="pct"/>
            <w:tcBorders>
              <w:top w:val="single" w:sz="4" w:space="0" w:color="auto"/>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.000</w:t>
            </w:r>
            <w:r w:rsidRPr="00210BD3">
              <w:rPr>
                <w:rFonts w:ascii="Times New Roman" w:eastAsia="Calibri" w:hAnsi="Times New Roman" w:cs="Times New Roman"/>
                <w:sz w:val="26"/>
                <w:szCs w:val="26"/>
                <w:vertAlign w:val="superscript"/>
              </w:rPr>
              <w:t>b</w:t>
            </w:r>
          </w:p>
        </w:tc>
      </w:tr>
      <w:tr w:rsidR="005D48B0" w:rsidRPr="00210BD3" w:rsidTr="005667DA">
        <w:trPr>
          <w:cantSplit/>
        </w:trPr>
        <w:tc>
          <w:tcPr>
            <w:tcW w:w="38" w:type="pct"/>
            <w:vMerge/>
            <w:tcBorders>
              <w:top w:val="single" w:sz="4" w:space="0" w:color="auto"/>
              <w:left w:val="nil"/>
              <w:bottom w:val="single" w:sz="4" w:space="0" w:color="auto"/>
              <w:right w:val="nil"/>
            </w:tcBorders>
            <w:vAlign w:val="center"/>
            <w:hideMark/>
          </w:tcPr>
          <w:p w:rsidR="005D48B0" w:rsidRPr="00210BD3" w:rsidRDefault="005D48B0" w:rsidP="007137CC">
            <w:pPr>
              <w:spacing w:after="0" w:line="240" w:lineRule="auto"/>
              <w:rPr>
                <w:rFonts w:ascii="Times New Roman" w:eastAsia="Calibri" w:hAnsi="Times New Roman" w:cs="Times New Roman"/>
                <w:sz w:val="26"/>
                <w:szCs w:val="26"/>
              </w:rPr>
            </w:pPr>
          </w:p>
        </w:tc>
        <w:tc>
          <w:tcPr>
            <w:tcW w:w="1458" w:type="pct"/>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Residual</w:t>
            </w:r>
          </w:p>
        </w:tc>
        <w:tc>
          <w:tcPr>
            <w:tcW w:w="808" w:type="pct"/>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233454.889</w:t>
            </w:r>
          </w:p>
        </w:tc>
        <w:tc>
          <w:tcPr>
            <w:tcW w:w="556" w:type="pct"/>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298</w:t>
            </w:r>
          </w:p>
        </w:tc>
        <w:tc>
          <w:tcPr>
            <w:tcW w:w="766" w:type="pct"/>
            <w:tcBorders>
              <w:top w:val="nil"/>
              <w:left w:val="nil"/>
              <w:bottom w:val="nil"/>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8.714</w:t>
            </w:r>
          </w:p>
        </w:tc>
        <w:tc>
          <w:tcPr>
            <w:tcW w:w="556" w:type="pct"/>
            <w:tcBorders>
              <w:top w:val="nil"/>
              <w:left w:val="nil"/>
              <w:bottom w:val="nil"/>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820" w:type="pct"/>
            <w:tcBorders>
              <w:top w:val="nil"/>
              <w:left w:val="nil"/>
              <w:bottom w:val="nil"/>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r>
      <w:tr w:rsidR="005D48B0" w:rsidRPr="00210BD3" w:rsidTr="005667DA">
        <w:trPr>
          <w:cantSplit/>
        </w:trPr>
        <w:tc>
          <w:tcPr>
            <w:tcW w:w="38" w:type="pct"/>
            <w:vMerge/>
            <w:tcBorders>
              <w:top w:val="single" w:sz="4" w:space="0" w:color="auto"/>
              <w:left w:val="nil"/>
              <w:bottom w:val="single" w:sz="4" w:space="0" w:color="auto"/>
              <w:right w:val="nil"/>
            </w:tcBorders>
            <w:vAlign w:val="center"/>
            <w:hideMark/>
          </w:tcPr>
          <w:p w:rsidR="005D48B0" w:rsidRPr="00210BD3" w:rsidRDefault="005D48B0" w:rsidP="007137CC">
            <w:pPr>
              <w:spacing w:after="0" w:line="240" w:lineRule="auto"/>
              <w:rPr>
                <w:rFonts w:ascii="Times New Roman" w:eastAsia="Calibri" w:hAnsi="Times New Roman" w:cs="Times New Roman"/>
                <w:sz w:val="26"/>
                <w:szCs w:val="26"/>
              </w:rPr>
            </w:pPr>
          </w:p>
        </w:tc>
        <w:tc>
          <w:tcPr>
            <w:tcW w:w="1458" w:type="pct"/>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Total</w:t>
            </w:r>
          </w:p>
        </w:tc>
        <w:tc>
          <w:tcPr>
            <w:tcW w:w="808" w:type="pct"/>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2442.218</w:t>
            </w:r>
          </w:p>
        </w:tc>
        <w:tc>
          <w:tcPr>
            <w:tcW w:w="556" w:type="pct"/>
            <w:tcBorders>
              <w:top w:val="nil"/>
              <w:left w:val="nil"/>
              <w:bottom w:val="single" w:sz="4" w:space="0" w:color="auto"/>
              <w:right w:val="nil"/>
            </w:tcBorders>
            <w:shd w:val="clear" w:color="auto" w:fill="FFFFFF"/>
            <w:vAlign w:val="center"/>
            <w:hideMark/>
          </w:tcPr>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299</w:t>
            </w:r>
          </w:p>
        </w:tc>
        <w:tc>
          <w:tcPr>
            <w:tcW w:w="766" w:type="pct"/>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556" w:type="pct"/>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c>
          <w:tcPr>
            <w:tcW w:w="820" w:type="pct"/>
            <w:tcBorders>
              <w:top w:val="nil"/>
              <w:left w:val="nil"/>
              <w:bottom w:val="single" w:sz="4" w:space="0" w:color="auto"/>
              <w:right w:val="nil"/>
            </w:tcBorders>
            <w:shd w:val="clear" w:color="auto" w:fill="FFFFFF"/>
          </w:tcPr>
          <w:p w:rsidR="005D48B0" w:rsidRPr="00210BD3" w:rsidRDefault="005D48B0" w:rsidP="007137CC">
            <w:pPr>
              <w:spacing w:after="0" w:line="240" w:lineRule="auto"/>
              <w:jc w:val="both"/>
              <w:rPr>
                <w:rFonts w:ascii="Times New Roman" w:eastAsia="Calibri" w:hAnsi="Times New Roman" w:cs="Times New Roman"/>
                <w:sz w:val="26"/>
                <w:szCs w:val="26"/>
              </w:rPr>
            </w:pPr>
          </w:p>
        </w:tc>
      </w:tr>
    </w:tbl>
    <w:p w:rsidR="005D48B0" w:rsidRPr="00210BD3" w:rsidRDefault="005D48B0" w:rsidP="007137CC">
      <w:pPr>
        <w:spacing w:after="0" w:line="240" w:lineRule="auto"/>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*Significant at .05 level, Adj. R</w:t>
      </w:r>
      <w:r w:rsidRPr="00210BD3">
        <w:rPr>
          <w:rFonts w:ascii="Times New Roman" w:eastAsia="Calibri" w:hAnsi="Times New Roman" w:cs="Times New Roman"/>
          <w:sz w:val="26"/>
          <w:szCs w:val="26"/>
          <w:vertAlign w:val="superscript"/>
        </w:rPr>
        <w:t>2</w:t>
      </w:r>
      <w:r w:rsidRPr="00210BD3">
        <w:rPr>
          <w:rFonts w:ascii="Times New Roman" w:eastAsia="Calibri" w:hAnsi="Times New Roman" w:cs="Times New Roman"/>
          <w:sz w:val="26"/>
          <w:szCs w:val="26"/>
        </w:rPr>
        <w:t>=.124</w:t>
      </w:r>
    </w:p>
    <w:p w:rsidR="005D48B0" w:rsidRPr="00210BD3" w:rsidRDefault="005D48B0" w:rsidP="007137CC">
      <w:pPr>
        <w:spacing w:after="0" w:line="240" w:lineRule="auto"/>
        <w:jc w:val="both"/>
        <w:rPr>
          <w:rFonts w:ascii="Times New Roman" w:eastAsia="Calibri" w:hAnsi="Times New Roman" w:cs="Times New Roman"/>
          <w:sz w:val="26"/>
          <w:szCs w:val="26"/>
        </w:rPr>
      </w:pPr>
    </w:p>
    <w:p w:rsidR="00965216" w:rsidRDefault="005D48B0" w:rsidP="005667DA">
      <w:pPr>
        <w:spacing w:line="240" w:lineRule="auto"/>
        <w:jc w:val="both"/>
        <w:rPr>
          <w:rFonts w:ascii="Times New Roman" w:hAnsi="Times New Roman" w:cs="Times New Roman"/>
          <w:sz w:val="26"/>
          <w:szCs w:val="26"/>
        </w:rPr>
        <w:sectPr w:rsidR="00965216" w:rsidSect="00210BD3">
          <w:type w:val="continuous"/>
          <w:pgSz w:w="12240" w:h="15840" w:code="1"/>
          <w:pgMar w:top="1440" w:right="1440" w:bottom="1440" w:left="1440" w:header="706" w:footer="706" w:gutter="0"/>
          <w:cols w:space="708"/>
          <w:docGrid w:linePitch="360"/>
        </w:sectPr>
      </w:pPr>
      <w:r w:rsidRPr="00210BD3">
        <w:rPr>
          <w:rFonts w:ascii="Times New Roman" w:hAnsi="Times New Roman" w:cs="Times New Roman"/>
          <w:sz w:val="26"/>
          <w:szCs w:val="26"/>
        </w:rPr>
        <w:t xml:space="preserve">To analyze the data in Table 1, simple linear regression analysis was conducted. The </w:t>
      </w:r>
    </w:p>
    <w:p w:rsidR="005D48B0" w:rsidRPr="00210BD3" w:rsidRDefault="005D48B0" w:rsidP="00965216">
      <w:pPr>
        <w:spacing w:line="240" w:lineRule="auto"/>
        <w:ind w:firstLine="720"/>
        <w:jc w:val="both"/>
        <w:rPr>
          <w:rFonts w:ascii="Times New Roman" w:hAnsi="Times New Roman" w:cs="Times New Roman"/>
          <w:sz w:val="26"/>
          <w:szCs w:val="26"/>
        </w:rPr>
      </w:pPr>
      <w:r w:rsidRPr="00210BD3">
        <w:rPr>
          <w:rFonts w:ascii="Times New Roman" w:hAnsi="Times New Roman" w:cs="Times New Roman"/>
          <w:sz w:val="26"/>
          <w:szCs w:val="26"/>
        </w:rPr>
        <w:lastRenderedPageBreak/>
        <w:t xml:space="preserve">results indicate an adjusted R² value of 0.124, which implies that 12.4% of the variance in the promotion of business consciousness among secondary school students can be explained by teachers’ mastery of business education concepts. Although the percentage contribution is relatively modest, the model was statistically significant, F (1, 298) = 14.912, </w:t>
      </w:r>
      <w:r w:rsidRPr="00210BD3">
        <w:rPr>
          <w:rStyle w:val="Emphasis"/>
          <w:rFonts w:ascii="Times New Roman" w:hAnsi="Times New Roman" w:cs="Times New Roman"/>
          <w:sz w:val="26"/>
          <w:szCs w:val="26"/>
        </w:rPr>
        <w:t>p</w:t>
      </w:r>
      <w:r w:rsidRPr="00210BD3">
        <w:rPr>
          <w:rFonts w:ascii="Times New Roman" w:hAnsi="Times New Roman" w:cs="Times New Roman"/>
          <w:sz w:val="26"/>
          <w:szCs w:val="26"/>
        </w:rPr>
        <w:t xml:space="preserve">&lt; .05. Given that </w:t>
      </w:r>
      <w:r w:rsidRPr="00210BD3">
        <w:rPr>
          <w:rStyle w:val="Emphasis"/>
          <w:rFonts w:ascii="Times New Roman" w:hAnsi="Times New Roman" w:cs="Times New Roman"/>
          <w:sz w:val="26"/>
          <w:szCs w:val="26"/>
        </w:rPr>
        <w:t>p</w:t>
      </w:r>
      <w:r w:rsidRPr="00210BD3">
        <w:rPr>
          <w:rFonts w:ascii="Times New Roman" w:hAnsi="Times New Roman" w:cs="Times New Roman"/>
          <w:sz w:val="26"/>
          <w:szCs w:val="26"/>
        </w:rPr>
        <w:t xml:space="preserve"> (.000) is less than the significance level of .05, the result confirms a significant relationship between teachers’ mastery of business education concepts and the promotion of business consciousness </w:t>
      </w:r>
      <w:r w:rsidRPr="00210BD3">
        <w:rPr>
          <w:rFonts w:ascii="Times New Roman" w:hAnsi="Times New Roman" w:cs="Times New Roman"/>
          <w:sz w:val="26"/>
          <w:szCs w:val="26"/>
        </w:rPr>
        <w:lastRenderedPageBreak/>
        <w:t>among secondary school students in Akamkpa Local Government Area of Cross River State. Therefore, the null hypothesis is rejected, and the alternative hypothesis is accepted.</w:t>
      </w:r>
    </w:p>
    <w:p w:rsidR="005D48B0" w:rsidRPr="00210BD3" w:rsidRDefault="005D48B0" w:rsidP="00965216">
      <w:pPr>
        <w:spacing w:before="100" w:beforeAutospacing="1"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Discussion of findings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analysis of data in Table 1 revealed a significant relationship between the availability of relevant learning materials and the promotion of business consciousness among secondary school students in Akamkpa Local Government Area of Cross River State. This finding aligns with Akinsanmi </w:t>
      </w:r>
      <w:r w:rsidRPr="00210BD3">
        <w:rPr>
          <w:rFonts w:ascii="Times New Roman" w:eastAsia="Times New Roman" w:hAnsi="Times New Roman" w:cs="Times New Roman"/>
          <w:sz w:val="26"/>
          <w:szCs w:val="26"/>
        </w:rPr>
        <w:lastRenderedPageBreak/>
        <w:t>(2022), who emphasized that the effectiveness of business education in fostering entrepreneurial awareness among secondary school students is largely dependent on the accessibility of relevant learning resources. Despite this, many Nigerian secondary schools still face a critical shortage of essential materials such as textbooks, educational software, and internet connectivity (Akinsanmi, 2022). These inadequacies significantly impede students’ comprehension of business concepts and limit their capacity to acquire practical entrepreneurial skills.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To effectively raise business consciousness, a comprehensive approach is necessary—one that incorporates entrepreneurship education into the curriculum, encourages experiential learning, and nurtures a culture of innovation (Kola-Olusola, 2020). Business education should aim to equip students with the critical skills, knowledge, and attitudes required to thrive as entrepreneurs. This can be achieved through methods such as project-based learning, the use of real-life case studies, and active collaboration with local business enterprises. By addressing resource deficits and implementing effective pedagogical strategies, educators can inspire and develop the next generation of entrepreneurs—an essential step toward Nigeria’s economic growth and sustainable development.</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Furthermore, findings from Table 2 indicated a significant relationship between teachers’ mastery of business education concepts and the promotion of business consciousness among secondary school students. This outcome is </w:t>
      </w:r>
      <w:r w:rsidRPr="00210BD3">
        <w:rPr>
          <w:rFonts w:ascii="Times New Roman" w:eastAsia="Times New Roman" w:hAnsi="Times New Roman" w:cs="Times New Roman"/>
          <w:sz w:val="26"/>
          <w:szCs w:val="26"/>
        </w:rPr>
        <w:lastRenderedPageBreak/>
        <w:t>consistent with the observations of Ndifon and Igwebuike (2019), who noted that a teacher's subject-matter expertise enhances their ability to foster an inclusive and dynamic learning environment. Teachers have been consistently identified as the most influential factor in student achievement. In a similar vein, Mumba (2014) highlighted that teacher training and continuous professional development are critical to strengthening conceptual understanding and improving instructional effectiveness.</w:t>
      </w:r>
    </w:p>
    <w:p w:rsidR="005667DA" w:rsidRDefault="005667DA" w:rsidP="00965216">
      <w:pPr>
        <w:spacing w:after="0" w:line="240" w:lineRule="auto"/>
        <w:jc w:val="both"/>
        <w:outlineLvl w:val="2"/>
        <w:rPr>
          <w:rFonts w:ascii="Times New Roman" w:eastAsia="Times New Roman" w:hAnsi="Times New Roman" w:cs="Times New Roman"/>
          <w:b/>
          <w:bCs/>
          <w:sz w:val="26"/>
          <w:szCs w:val="26"/>
        </w:rPr>
      </w:pPr>
    </w:p>
    <w:p w:rsidR="005D48B0" w:rsidRPr="00210BD3" w:rsidRDefault="005D48B0" w:rsidP="00965216">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Conclusion</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This study provides compelling evidence that the promotion of business consciousness among secondary school students in Akamkpa Local Government Area is significantly influenced by two key factors: the availability of relevant learning materials and teachers’ mastery of business education concepts. The findings emphasize the urgent need for policymakers and educators to realign their focus by ensuring that educational institutions are well-resourced and staffed by competent, well-trained business educators. Addressing these core issues will help cultivate a learning environment that encourages entrepreneurial thinking, innovation, and self-reliance among students.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By fostering business consciousness at the secondary school level, Nigeria stands to benefit from a more entrepreneurial youth population, better prepared to navigate the demands of a competitive global economy. Ultimately, such development efforts can lead to increased innovation, job </w:t>
      </w:r>
      <w:r w:rsidRPr="00210BD3">
        <w:rPr>
          <w:rFonts w:ascii="Times New Roman" w:eastAsia="Times New Roman" w:hAnsi="Times New Roman" w:cs="Times New Roman"/>
          <w:sz w:val="26"/>
          <w:szCs w:val="26"/>
        </w:rPr>
        <w:lastRenderedPageBreak/>
        <w:t>creation, and sustainable economic growth.</w:t>
      </w:r>
    </w:p>
    <w:p w:rsidR="00965216" w:rsidRDefault="00965216" w:rsidP="00965216">
      <w:pPr>
        <w:spacing w:after="0" w:line="240" w:lineRule="auto"/>
        <w:outlineLvl w:val="2"/>
        <w:rPr>
          <w:rFonts w:ascii="Times New Roman" w:eastAsia="Times New Roman" w:hAnsi="Times New Roman" w:cs="Times New Roman"/>
          <w:b/>
          <w:bCs/>
          <w:sz w:val="26"/>
          <w:szCs w:val="26"/>
        </w:rPr>
      </w:pPr>
    </w:p>
    <w:p w:rsidR="005D48B0" w:rsidRPr="00210BD3" w:rsidRDefault="005D48B0" w:rsidP="00965216">
      <w:pPr>
        <w:spacing w:after="0" w:line="240" w:lineRule="auto"/>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Recommendations</w:t>
      </w:r>
    </w:p>
    <w:p w:rsidR="005D48B0" w:rsidRPr="00210BD3" w:rsidRDefault="005D48B0" w:rsidP="00965216">
      <w:pPr>
        <w:spacing w:after="0" w:line="240" w:lineRule="auto"/>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Based on the study’s findings, the following recommendations are offered:</w:t>
      </w:r>
    </w:p>
    <w:p w:rsidR="005D48B0" w:rsidRPr="00210BD3" w:rsidRDefault="005D48B0" w:rsidP="00965216">
      <w:pPr>
        <w:pStyle w:val="ListParagraph"/>
        <w:numPr>
          <w:ilvl w:val="0"/>
          <w:numId w:val="14"/>
        </w:numPr>
        <w:spacing w:before="0" w:beforeAutospacing="0" w:after="0" w:line="240" w:lineRule="auto"/>
        <w:ind w:hanging="720"/>
        <w:jc w:val="both"/>
        <w:rPr>
          <w:rFonts w:ascii="Times New Roman" w:hAnsi="Times New Roman"/>
          <w:sz w:val="26"/>
          <w:szCs w:val="26"/>
        </w:rPr>
      </w:pPr>
      <w:r w:rsidRPr="00210BD3">
        <w:rPr>
          <w:rFonts w:ascii="Times New Roman" w:hAnsi="Times New Roman"/>
          <w:bCs/>
          <w:sz w:val="26"/>
          <w:szCs w:val="26"/>
        </w:rPr>
        <w:t>In terms of curriculum development and policy support, e</w:t>
      </w:r>
      <w:r w:rsidRPr="00210BD3">
        <w:rPr>
          <w:rFonts w:ascii="Times New Roman" w:hAnsi="Times New Roman"/>
          <w:sz w:val="26"/>
          <w:szCs w:val="26"/>
        </w:rPr>
        <w:t>ducators and policymakers should prioritize the integration of entrepreneurship education into the secondary school curriculum to foster a culture of business consciousness among Nigerian youth. This initiative should also ensure that teachers possess strong subject-matter expertise.</w:t>
      </w:r>
    </w:p>
    <w:p w:rsidR="005D48B0" w:rsidRPr="00210BD3" w:rsidRDefault="005D48B0" w:rsidP="00965216">
      <w:pPr>
        <w:numPr>
          <w:ilvl w:val="0"/>
          <w:numId w:val="14"/>
        </w:numPr>
        <w:spacing w:after="0" w:line="240" w:lineRule="auto"/>
        <w:ind w:hanging="720"/>
        <w:jc w:val="both"/>
        <w:rPr>
          <w:rFonts w:ascii="Times New Roman" w:eastAsia="Times New Roman" w:hAnsi="Times New Roman" w:cs="Times New Roman"/>
          <w:sz w:val="26"/>
          <w:szCs w:val="26"/>
        </w:rPr>
      </w:pPr>
      <w:r w:rsidRPr="00210BD3">
        <w:rPr>
          <w:rFonts w:ascii="Times New Roman" w:eastAsia="Times New Roman" w:hAnsi="Times New Roman" w:cs="Times New Roman"/>
          <w:bCs/>
          <w:sz w:val="26"/>
          <w:szCs w:val="26"/>
        </w:rPr>
        <w:t>In terms of teacher training and professional development, t</w:t>
      </w:r>
      <w:r w:rsidRPr="00210BD3">
        <w:rPr>
          <w:rFonts w:ascii="Times New Roman" w:eastAsia="Times New Roman" w:hAnsi="Times New Roman" w:cs="Times New Roman"/>
          <w:sz w:val="26"/>
          <w:szCs w:val="26"/>
        </w:rPr>
        <w:t>eachers should participate in ongoing training and certification programs in business education to enhance both their pedagogical techniques and their mastery of content knowledge.</w:t>
      </w:r>
    </w:p>
    <w:p w:rsidR="00965216" w:rsidRDefault="00965216" w:rsidP="00965216">
      <w:pPr>
        <w:spacing w:after="0" w:line="240" w:lineRule="auto"/>
        <w:jc w:val="both"/>
        <w:outlineLvl w:val="2"/>
        <w:rPr>
          <w:rFonts w:ascii="Times New Roman" w:eastAsia="Times New Roman" w:hAnsi="Times New Roman" w:cs="Times New Roman"/>
          <w:b/>
          <w:bCs/>
          <w:sz w:val="26"/>
          <w:szCs w:val="26"/>
        </w:rPr>
      </w:pPr>
    </w:p>
    <w:p w:rsidR="005D48B0" w:rsidRPr="00210BD3" w:rsidRDefault="005D48B0" w:rsidP="00965216">
      <w:pPr>
        <w:spacing w:after="0" w:line="240" w:lineRule="auto"/>
        <w:jc w:val="both"/>
        <w:outlineLvl w:val="2"/>
        <w:rPr>
          <w:rFonts w:ascii="Times New Roman" w:eastAsia="Times New Roman" w:hAnsi="Times New Roman" w:cs="Times New Roman"/>
          <w:b/>
          <w:bCs/>
          <w:sz w:val="26"/>
          <w:szCs w:val="26"/>
        </w:rPr>
      </w:pPr>
      <w:r w:rsidRPr="00210BD3">
        <w:rPr>
          <w:rFonts w:ascii="Times New Roman" w:eastAsia="Times New Roman" w:hAnsi="Times New Roman" w:cs="Times New Roman"/>
          <w:b/>
          <w:bCs/>
          <w:sz w:val="26"/>
          <w:szCs w:val="26"/>
        </w:rPr>
        <w:t>Implications of the Study</w:t>
      </w:r>
    </w:p>
    <w:p w:rsidR="005D48B0" w:rsidRPr="00210BD3" w:rsidRDefault="005D48B0" w:rsidP="00965216">
      <w:pPr>
        <w:spacing w:after="0" w:line="240" w:lineRule="auto"/>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findings from this study offer significant implications for the teaching and learning of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in Nigerian secondary schools, with particular relevance to Akamkpa Local Government Area and similar educational settings: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bCs/>
          <w:sz w:val="26"/>
          <w:szCs w:val="26"/>
        </w:rPr>
        <w:t>The findings have implications on the reinforcement of business education in the curriculum.</w:t>
      </w:r>
      <w:r w:rsidRPr="00210BD3">
        <w:rPr>
          <w:rFonts w:ascii="Times New Roman" w:eastAsia="Times New Roman" w:hAnsi="Times New Roman" w:cs="Times New Roman"/>
          <w:sz w:val="26"/>
          <w:szCs w:val="26"/>
        </w:rPr>
        <w:t xml:space="preserve"> The study highlights the crucial role of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in promoting business consciousness among secondary school students. This underscores the need to reinforce business education content within the national curriculum by embedding </w:t>
      </w:r>
      <w:r w:rsidRPr="00210BD3">
        <w:rPr>
          <w:rFonts w:ascii="Times New Roman" w:eastAsia="Times New Roman" w:hAnsi="Times New Roman" w:cs="Times New Roman"/>
          <w:sz w:val="26"/>
          <w:szCs w:val="26"/>
        </w:rPr>
        <w:lastRenderedPageBreak/>
        <w:t>practical, entrepreneurial, and market-relevant components. A more comprehensive and dynamic business education curriculum can help cultivate foundational skills in financial literacy, marketing, and innovation.</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findings equally have implications on </w:t>
      </w:r>
      <w:r w:rsidRPr="00210BD3">
        <w:rPr>
          <w:rFonts w:ascii="Times New Roman" w:eastAsia="Times New Roman" w:hAnsi="Times New Roman" w:cs="Times New Roman"/>
          <w:bCs/>
          <w:sz w:val="26"/>
          <w:szCs w:val="26"/>
        </w:rPr>
        <w:t>investment in instructional resources.</w:t>
      </w:r>
      <w:r w:rsidRPr="00210BD3">
        <w:rPr>
          <w:rFonts w:ascii="Times New Roman" w:eastAsia="Times New Roman" w:hAnsi="Times New Roman" w:cs="Times New Roman"/>
          <w:sz w:val="26"/>
          <w:szCs w:val="26"/>
        </w:rPr>
        <w:t xml:space="preserve"> The positive correlation between availability of learning materials and business consciousness indicates that schools must be adequately equipped with textbooks, audiovisual materials, digital tools, and internet connectivity tailored specifically to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Without these resources, the potential of business education to influence students' entrepreneurial thinking may remain unrealized.</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findings also have implications in </w:t>
      </w:r>
      <w:r w:rsidRPr="00210BD3">
        <w:rPr>
          <w:rFonts w:ascii="Times New Roman" w:eastAsia="Times New Roman" w:hAnsi="Times New Roman" w:cs="Times New Roman"/>
          <w:bCs/>
          <w:sz w:val="26"/>
          <w:szCs w:val="26"/>
        </w:rPr>
        <w:t>teacher professional development in business education.</w:t>
      </w:r>
      <w:r w:rsidRPr="00210BD3">
        <w:rPr>
          <w:rFonts w:ascii="Times New Roman" w:eastAsia="Times New Roman" w:hAnsi="Times New Roman" w:cs="Times New Roman"/>
          <w:sz w:val="26"/>
          <w:szCs w:val="26"/>
        </w:rPr>
        <w:t xml:space="preserve"> Since teachers’ mastery of business education concepts significantly influences students’ awareness and interest in business, there is a clear need for ongoing teacher training. This includes workshops, certification programs, and updates on current business trends to ensure educators remain proficient and confident in delivering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effectively.</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The findings of the study also have implications in </w:t>
      </w:r>
      <w:r w:rsidRPr="00210BD3">
        <w:rPr>
          <w:rFonts w:ascii="Times New Roman" w:eastAsia="Times New Roman" w:hAnsi="Times New Roman" w:cs="Times New Roman"/>
          <w:bCs/>
          <w:sz w:val="26"/>
          <w:szCs w:val="26"/>
        </w:rPr>
        <w:t>improved pedagogical approaches.</w:t>
      </w:r>
      <w:r w:rsidRPr="00210BD3">
        <w:rPr>
          <w:rFonts w:ascii="Times New Roman" w:eastAsia="Times New Roman" w:hAnsi="Times New Roman" w:cs="Times New Roman"/>
          <w:sz w:val="26"/>
          <w:szCs w:val="26"/>
        </w:rPr>
        <w:t xml:space="preserve"> The findings imply that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should not be taught solely through theoretical instruction. Instead, it should adopt experiential learning approaches such as project-based learning, simulations, business plan development, and school-based enterprise. These methods can </w:t>
      </w:r>
      <w:r w:rsidRPr="00210BD3">
        <w:rPr>
          <w:rFonts w:ascii="Times New Roman" w:eastAsia="Times New Roman" w:hAnsi="Times New Roman" w:cs="Times New Roman"/>
          <w:sz w:val="26"/>
          <w:szCs w:val="26"/>
        </w:rPr>
        <w:lastRenderedPageBreak/>
        <w:t>foster deeper student engagement and practical business skills.</w:t>
      </w:r>
    </w:p>
    <w:p w:rsidR="005D48B0" w:rsidRPr="00210BD3" w:rsidRDefault="005D48B0" w:rsidP="00965216">
      <w:pPr>
        <w:spacing w:after="0"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sz w:val="26"/>
          <w:szCs w:val="26"/>
        </w:rPr>
        <w:t xml:space="preserve">On </w:t>
      </w:r>
      <w:r w:rsidRPr="00210BD3">
        <w:rPr>
          <w:rFonts w:ascii="Times New Roman" w:eastAsia="Times New Roman" w:hAnsi="Times New Roman" w:cs="Times New Roman"/>
          <w:bCs/>
          <w:sz w:val="26"/>
          <w:szCs w:val="26"/>
        </w:rPr>
        <w:t xml:space="preserve">policy and administrative implications, </w:t>
      </w:r>
      <w:r w:rsidRPr="00210BD3">
        <w:rPr>
          <w:rFonts w:ascii="Times New Roman" w:eastAsia="Times New Roman" w:hAnsi="Times New Roman" w:cs="Times New Roman"/>
          <w:sz w:val="26"/>
          <w:szCs w:val="26"/>
        </w:rPr>
        <w:t xml:space="preserve">policymakers at the local, state, and national levels must recognize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as a strategic tool for economic empowerment and youth development. Policies should be geared toward expanding access to business education, standardizing instructional quality, and ensuring equitable distribution of resources across schools.</w:t>
      </w:r>
    </w:p>
    <w:p w:rsidR="005D48B0" w:rsidRPr="00210BD3" w:rsidRDefault="005D48B0" w:rsidP="00965216">
      <w:pPr>
        <w:spacing w:after="100" w:afterAutospacing="1" w:line="240" w:lineRule="auto"/>
        <w:ind w:firstLine="720"/>
        <w:jc w:val="both"/>
        <w:rPr>
          <w:rFonts w:ascii="Times New Roman" w:eastAsia="Times New Roman" w:hAnsi="Times New Roman" w:cs="Times New Roman"/>
          <w:sz w:val="26"/>
          <w:szCs w:val="26"/>
        </w:rPr>
      </w:pPr>
      <w:r w:rsidRPr="00210BD3">
        <w:rPr>
          <w:rFonts w:ascii="Times New Roman" w:eastAsia="Times New Roman" w:hAnsi="Times New Roman" w:cs="Times New Roman"/>
          <w:bCs/>
          <w:sz w:val="26"/>
          <w:szCs w:val="26"/>
        </w:rPr>
        <w:lastRenderedPageBreak/>
        <w:t>The implication on contribution to national development</w:t>
      </w:r>
      <w:r w:rsidRPr="00210BD3">
        <w:rPr>
          <w:rFonts w:ascii="Times New Roman" w:eastAsia="Times New Roman" w:hAnsi="Times New Roman" w:cs="Times New Roman"/>
          <w:sz w:val="26"/>
          <w:szCs w:val="26"/>
        </w:rPr>
        <w:t xml:space="preserve"> is based on the fact that the findings can be implemented in promoting business consciousness through effective </w:t>
      </w:r>
      <w:r w:rsidRPr="00210BD3">
        <w:rPr>
          <w:rFonts w:ascii="Times New Roman" w:eastAsia="Times New Roman" w:hAnsi="Times New Roman" w:cs="Times New Roman"/>
          <w:bCs/>
          <w:sz w:val="26"/>
          <w:szCs w:val="26"/>
        </w:rPr>
        <w:t>business education</w:t>
      </w:r>
      <w:r w:rsidRPr="00210BD3">
        <w:rPr>
          <w:rFonts w:ascii="Times New Roman" w:eastAsia="Times New Roman" w:hAnsi="Times New Roman" w:cs="Times New Roman"/>
          <w:sz w:val="26"/>
          <w:szCs w:val="26"/>
        </w:rPr>
        <w:t xml:space="preserve"> has broader socio-economic implications. It can help reduce youth unemployment, stimulate innovation, and support small and medium-scale enterprises (SMEs) in the long run. Educating students early about entrepreneurship prepares them to become job creators rather than job seekers.</w:t>
      </w:r>
    </w:p>
    <w:p w:rsidR="00965216" w:rsidRDefault="00965216" w:rsidP="007137CC">
      <w:pPr>
        <w:spacing w:after="0" w:line="240" w:lineRule="auto"/>
        <w:jc w:val="both"/>
        <w:rPr>
          <w:rFonts w:ascii="Times New Roman" w:eastAsia="Calibri" w:hAnsi="Times New Roman" w:cs="Times New Roman"/>
          <w:b/>
          <w:bCs/>
          <w:sz w:val="26"/>
          <w:szCs w:val="26"/>
        </w:rPr>
        <w:sectPr w:rsidR="00965216" w:rsidSect="00965216">
          <w:type w:val="continuous"/>
          <w:pgSz w:w="12240" w:h="15840" w:code="1"/>
          <w:pgMar w:top="1440" w:right="1440" w:bottom="1440" w:left="1440" w:header="706" w:footer="706" w:gutter="0"/>
          <w:cols w:num="2" w:space="708"/>
          <w:docGrid w:linePitch="360"/>
        </w:sectPr>
      </w:pPr>
    </w:p>
    <w:p w:rsidR="005D48B0" w:rsidRPr="00965216" w:rsidRDefault="005D48B0" w:rsidP="007137CC">
      <w:pPr>
        <w:spacing w:after="0" w:line="240" w:lineRule="auto"/>
        <w:jc w:val="both"/>
        <w:rPr>
          <w:rFonts w:ascii="Times New Roman" w:eastAsia="Calibri" w:hAnsi="Times New Roman" w:cs="Times New Roman"/>
          <w:b/>
          <w:bCs/>
          <w:sz w:val="26"/>
          <w:szCs w:val="26"/>
        </w:rPr>
      </w:pPr>
      <w:r w:rsidRPr="00210BD3">
        <w:rPr>
          <w:rFonts w:ascii="Times New Roman" w:eastAsia="Calibri" w:hAnsi="Times New Roman" w:cs="Times New Roman"/>
          <w:b/>
          <w:bCs/>
          <w:sz w:val="26"/>
          <w:szCs w:val="26"/>
        </w:rPr>
        <w:lastRenderedPageBreak/>
        <w:t xml:space="preserve">References </w:t>
      </w:r>
      <w:r w:rsidRPr="00210BD3">
        <w:rPr>
          <w:rFonts w:ascii="Times New Roman" w:eastAsia="Calibri" w:hAnsi="Times New Roman" w:cs="Times New Roman"/>
          <w:sz w:val="26"/>
          <w:szCs w:val="26"/>
        </w:rPr>
        <w:tab/>
      </w:r>
    </w:p>
    <w:p w:rsidR="005D48B0" w:rsidRPr="00965216" w:rsidRDefault="005D48B0" w:rsidP="007137CC">
      <w:pPr>
        <w:spacing w:after="0" w:line="240" w:lineRule="auto"/>
        <w:rPr>
          <w:rFonts w:ascii="Times New Roman" w:eastAsia="Calibri" w:hAnsi="Times New Roman" w:cs="Times New Roman"/>
          <w:sz w:val="16"/>
          <w:szCs w:val="16"/>
        </w:rPr>
      </w:pP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Afolabi, M. O. (2017). Entrepreneurship education and economic development in Nigeria.</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 xml:space="preserve"> Journal of </w:t>
      </w:r>
      <w:r w:rsidRPr="00210BD3">
        <w:rPr>
          <w:rStyle w:val="15"/>
          <w:rFonts w:ascii="Times New Roman" w:eastAsia="Calibri" w:hAnsi="Times New Roman" w:cs="Times New Roman"/>
          <w:sz w:val="26"/>
          <w:szCs w:val="26"/>
        </w:rPr>
        <w:tab/>
        <w:t>Entrepreneurship and Innovation, 8(1), 1-12.</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Ajzen, I. (1985). From intentions to actions: a theory of planned behaviour. </w:t>
      </w:r>
      <w:r w:rsidRPr="00210BD3">
        <w:rPr>
          <w:rFonts w:ascii="Times New Roman" w:eastAsia="Calibri" w:hAnsi="Times New Roman" w:cs="Times New Roman"/>
          <w:sz w:val="26"/>
          <w:szCs w:val="26"/>
          <w:u w:val="single"/>
        </w:rPr>
        <w:t>In</w:t>
      </w:r>
      <w:r w:rsidRPr="00210BD3">
        <w:rPr>
          <w:rFonts w:ascii="Times New Roman" w:eastAsia="Calibri" w:hAnsi="Times New Roman" w:cs="Times New Roman"/>
          <w:sz w:val="26"/>
          <w:szCs w:val="26"/>
        </w:rPr>
        <w:t xml:space="preserve">: J. Kuhi &amp; J. Beckmann (Eds.).  </w:t>
      </w:r>
      <w:r w:rsidRPr="00210BD3">
        <w:rPr>
          <w:rFonts w:ascii="Times New Roman" w:eastAsia="Calibri" w:hAnsi="Times New Roman" w:cs="Times New Roman"/>
          <w:i/>
          <w:sz w:val="26"/>
          <w:szCs w:val="26"/>
        </w:rPr>
        <w:t>Action-control: from cognition to behaviour</w:t>
      </w:r>
      <w:r w:rsidRPr="00210BD3">
        <w:rPr>
          <w:rFonts w:ascii="Times New Roman" w:eastAsia="Calibri" w:hAnsi="Times New Roman" w:cs="Times New Roman"/>
          <w:sz w:val="26"/>
          <w:szCs w:val="26"/>
        </w:rPr>
        <w:t>. Heidelberg: Springer.</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Ajzen, I. (1991). The theory of planned behaviour.</w:t>
      </w:r>
      <w:r w:rsidRPr="00210BD3">
        <w:rPr>
          <w:rFonts w:ascii="Times New Roman" w:eastAsia="Calibri" w:hAnsi="Times New Roman" w:cs="Times New Roman"/>
          <w:i/>
          <w:sz w:val="26"/>
          <w:szCs w:val="26"/>
        </w:rPr>
        <w:t>Organizational Behaviour and Human Decision Processes, 50</w:t>
      </w:r>
      <w:r w:rsidRPr="00210BD3">
        <w:rPr>
          <w:rFonts w:ascii="Times New Roman" w:eastAsia="Calibri" w:hAnsi="Times New Roman" w:cs="Times New Roman"/>
          <w:sz w:val="26"/>
          <w:szCs w:val="26"/>
        </w:rPr>
        <w:t>, 179-211.</w:t>
      </w:r>
    </w:p>
    <w:p w:rsidR="005D48B0" w:rsidRPr="00210BD3" w:rsidRDefault="005D48B0" w:rsidP="00965216">
      <w:pPr>
        <w:tabs>
          <w:tab w:val="left" w:pos="90"/>
        </w:tabs>
        <w:autoSpaceDE w:val="0"/>
        <w:autoSpaceDN w:val="0"/>
        <w:adjustRightInd w:val="0"/>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Ajzen, I. (2015). Consumer attitudes and behavior: the theory of planned behavior applied to food consumption decisions. </w:t>
      </w:r>
      <w:r w:rsidRPr="00210BD3">
        <w:rPr>
          <w:rFonts w:ascii="Times New Roman" w:eastAsia="Calibri" w:hAnsi="Times New Roman" w:cs="Times New Roman"/>
          <w:i/>
          <w:sz w:val="26"/>
          <w:szCs w:val="26"/>
        </w:rPr>
        <w:t xml:space="preserve">Rivista di Economia Agraria, 52 </w:t>
      </w:r>
      <w:r w:rsidRPr="00210BD3">
        <w:rPr>
          <w:rFonts w:ascii="Times New Roman" w:eastAsia="Calibri" w:hAnsi="Times New Roman" w:cs="Times New Roman"/>
          <w:sz w:val="26"/>
          <w:szCs w:val="26"/>
        </w:rPr>
        <w:t>(2), 121-138.</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Akinsanmi, O. A. (2022). Challenges facing business education in Nigerian secondary</w:t>
      </w:r>
    </w:p>
    <w:p w:rsidR="005D48B0" w:rsidRPr="00210BD3" w:rsidRDefault="005D48B0" w:rsidP="00965216">
      <w:pPr>
        <w:tabs>
          <w:tab w:val="left" w:pos="90"/>
          <w:tab w:val="left" w:pos="63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schools. </w:t>
      </w:r>
      <w:r w:rsidRPr="00210BD3">
        <w:rPr>
          <w:rFonts w:ascii="Times New Roman" w:eastAsia="Calibri" w:hAnsi="Times New Roman" w:cs="Times New Roman"/>
          <w:sz w:val="26"/>
          <w:szCs w:val="26"/>
        </w:rPr>
        <w:tab/>
      </w:r>
      <w:r w:rsidRPr="00210BD3">
        <w:rPr>
          <w:rFonts w:ascii="Times New Roman" w:eastAsia="Calibri" w:hAnsi="Times New Roman" w:cs="Times New Roman"/>
          <w:i/>
          <w:iCs/>
          <w:sz w:val="26"/>
          <w:szCs w:val="26"/>
        </w:rPr>
        <w:t>Journal of Education and Human Development</w:t>
      </w:r>
      <w:r w:rsidRPr="00210BD3">
        <w:rPr>
          <w:rFonts w:ascii="Times New Roman" w:eastAsia="Calibri" w:hAnsi="Times New Roman" w:cs="Times New Roman"/>
          <w:sz w:val="26"/>
          <w:szCs w:val="26"/>
        </w:rPr>
        <w:t xml:space="preserve">, </w:t>
      </w:r>
      <w:r w:rsidRPr="00210BD3">
        <w:rPr>
          <w:rFonts w:ascii="Times New Roman" w:eastAsia="Calibri" w:hAnsi="Times New Roman" w:cs="Times New Roman"/>
          <w:i/>
          <w:sz w:val="26"/>
          <w:szCs w:val="26"/>
        </w:rPr>
        <w:t>11</w:t>
      </w:r>
      <w:r w:rsidRPr="00210BD3">
        <w:rPr>
          <w:rFonts w:ascii="Times New Roman" w:eastAsia="Calibri" w:hAnsi="Times New Roman" w:cs="Times New Roman"/>
          <w:sz w:val="26"/>
          <w:szCs w:val="26"/>
        </w:rPr>
        <w:t>(1), 1-12.</w:t>
      </w:r>
    </w:p>
    <w:p w:rsidR="005D48B0" w:rsidRPr="00210BD3" w:rsidRDefault="005D48B0" w:rsidP="00965216">
      <w:pPr>
        <w:tabs>
          <w:tab w:val="left" w:pos="90"/>
          <w:tab w:val="left" w:pos="63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Bello, M. I.,.Egunsola, A. O. E. &amp; Awak, R. S. (2022). Assessing Pedagogical</w:t>
      </w:r>
    </w:p>
    <w:p w:rsidR="005D48B0" w:rsidRPr="00210BD3" w:rsidRDefault="005D48B0" w:rsidP="00965216">
      <w:pPr>
        <w:tabs>
          <w:tab w:val="left" w:pos="90"/>
          <w:tab w:val="left" w:pos="63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Competence </w:t>
      </w:r>
      <w:r w:rsidRPr="00210BD3">
        <w:rPr>
          <w:rFonts w:ascii="Times New Roman" w:eastAsia="Calibri" w:hAnsi="Times New Roman" w:cs="Times New Roman"/>
          <w:sz w:val="26"/>
          <w:szCs w:val="26"/>
        </w:rPr>
        <w:tab/>
        <w:t xml:space="preserve">Performance of Pre-Service Business Educators in North East, Nigeria,” </w:t>
      </w:r>
      <w:r w:rsidRPr="00210BD3">
        <w:rPr>
          <w:rFonts w:ascii="Times New Roman" w:eastAsia="Calibri" w:hAnsi="Times New Roman" w:cs="Times New Roman"/>
          <w:i/>
          <w:iCs/>
          <w:sz w:val="26"/>
          <w:szCs w:val="26"/>
        </w:rPr>
        <w:t xml:space="preserve">Kashere Journal </w:t>
      </w:r>
      <w:r w:rsidRPr="00210BD3">
        <w:rPr>
          <w:rFonts w:ascii="Times New Roman" w:eastAsia="Calibri" w:hAnsi="Times New Roman" w:cs="Times New Roman"/>
          <w:i/>
          <w:iCs/>
          <w:sz w:val="26"/>
          <w:szCs w:val="26"/>
        </w:rPr>
        <w:tab/>
        <w:t>of Education (KJE), 3</w:t>
      </w:r>
      <w:r w:rsidRPr="00210BD3">
        <w:rPr>
          <w:rFonts w:ascii="Times New Roman" w:eastAsia="Calibri" w:hAnsi="Times New Roman" w:cs="Times New Roman"/>
          <w:sz w:val="26"/>
          <w:szCs w:val="26"/>
        </w:rPr>
        <w:t>(1).91-101</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Ijeh, S. B. (2017). Analysis of David's Classroom Practice: In Search of Teacher-</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Demonstrated </w:t>
      </w:r>
      <w:r w:rsidRPr="00210BD3">
        <w:rPr>
          <w:rFonts w:ascii="Times New Roman" w:eastAsia="Calibri" w:hAnsi="Times New Roman" w:cs="Times New Roman"/>
          <w:sz w:val="26"/>
          <w:szCs w:val="26"/>
        </w:rPr>
        <w:tab/>
        <w:t xml:space="preserve">Pedagogical Content Knowledge in Statistics Teaching,” </w:t>
      </w:r>
      <w:r w:rsidRPr="00210BD3">
        <w:rPr>
          <w:rFonts w:ascii="Times New Roman" w:eastAsia="Calibri" w:hAnsi="Times New Roman" w:cs="Times New Roman"/>
          <w:i/>
          <w:iCs/>
          <w:sz w:val="26"/>
          <w:szCs w:val="26"/>
        </w:rPr>
        <w:t xml:space="preserve">Mediterranean Journal of </w:t>
      </w:r>
      <w:r w:rsidRPr="00210BD3">
        <w:rPr>
          <w:rFonts w:ascii="Times New Roman" w:eastAsia="Calibri" w:hAnsi="Times New Roman" w:cs="Times New Roman"/>
          <w:i/>
          <w:iCs/>
          <w:sz w:val="26"/>
          <w:szCs w:val="26"/>
        </w:rPr>
        <w:tab/>
        <w:t>Social Sciences, 4</w:t>
      </w:r>
      <w:r w:rsidRPr="00210BD3">
        <w:rPr>
          <w:rFonts w:ascii="Times New Roman" w:eastAsia="Calibri" w:hAnsi="Times New Roman" w:cs="Times New Roman"/>
          <w:sz w:val="26"/>
          <w:szCs w:val="26"/>
        </w:rPr>
        <w:t>(3), 735–742, 2017</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Jessica, A. H. &amp; Marianne, L. (2018). Student Teaching Assessment: An Analysis of </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University </w:t>
      </w:r>
      <w:r w:rsidRPr="00210BD3">
        <w:rPr>
          <w:rFonts w:ascii="Times New Roman" w:eastAsia="Calibri" w:hAnsi="Times New Roman" w:cs="Times New Roman"/>
          <w:sz w:val="26"/>
          <w:szCs w:val="26"/>
        </w:rPr>
        <w:tab/>
        <w:t xml:space="preserve">Supervisor and Cooperating Teacher Perceptions of Pre-service Teaching Performance, </w:t>
      </w:r>
      <w:r w:rsidRPr="00210BD3">
        <w:rPr>
          <w:rFonts w:ascii="Times New Roman" w:eastAsia="Calibri" w:hAnsi="Times New Roman" w:cs="Times New Roman"/>
          <w:sz w:val="26"/>
          <w:szCs w:val="26"/>
        </w:rPr>
        <w:tab/>
      </w:r>
      <w:r w:rsidRPr="00210BD3">
        <w:rPr>
          <w:rFonts w:ascii="Times New Roman" w:eastAsia="Calibri" w:hAnsi="Times New Roman" w:cs="Times New Roman"/>
          <w:i/>
          <w:iCs/>
          <w:sz w:val="26"/>
          <w:szCs w:val="26"/>
        </w:rPr>
        <w:t xml:space="preserve">The </w:t>
      </w:r>
      <w:r w:rsidRPr="00210BD3">
        <w:rPr>
          <w:rFonts w:ascii="Times New Roman" w:eastAsia="Calibri" w:hAnsi="Times New Roman" w:cs="Times New Roman"/>
          <w:i/>
          <w:iCs/>
          <w:sz w:val="26"/>
          <w:szCs w:val="26"/>
        </w:rPr>
        <w:tab/>
        <w:t>Field Experience Journal</w:t>
      </w:r>
      <w:r w:rsidRPr="00210BD3">
        <w:rPr>
          <w:rFonts w:ascii="Times New Roman" w:eastAsia="Calibri" w:hAnsi="Times New Roman" w:cs="Times New Roman"/>
          <w:sz w:val="26"/>
          <w:szCs w:val="26"/>
        </w:rPr>
        <w:t xml:space="preserve">. </w:t>
      </w:r>
      <w:r w:rsidRPr="00210BD3">
        <w:rPr>
          <w:rFonts w:ascii="Times New Roman" w:eastAsia="Calibri" w:hAnsi="Times New Roman" w:cs="Times New Roman"/>
          <w:i/>
          <w:sz w:val="26"/>
          <w:szCs w:val="26"/>
        </w:rPr>
        <w:t>21</w:t>
      </w:r>
      <w:r w:rsidRPr="00210BD3">
        <w:rPr>
          <w:rFonts w:ascii="Times New Roman" w:eastAsia="Calibri" w:hAnsi="Times New Roman" w:cs="Times New Roman"/>
          <w:sz w:val="26"/>
          <w:szCs w:val="26"/>
        </w:rPr>
        <w:t>, 84- 96</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Kamamia,, L.  N. &amp; Ngugi, N. T. ,Thinguri,, R. (2014). To Establish the Extent to which</w:t>
      </w:r>
    </w:p>
    <w:p w:rsidR="005D48B0" w:rsidRPr="00210BD3" w:rsidRDefault="00965216" w:rsidP="00965216">
      <w:pPr>
        <w:tabs>
          <w:tab w:val="left" w:pos="90"/>
        </w:tabs>
        <w:spacing w:after="0" w:line="240" w:lineRule="auto"/>
        <w:ind w:left="720" w:hanging="720"/>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sidR="005D48B0" w:rsidRPr="00210BD3">
        <w:rPr>
          <w:rFonts w:ascii="Times New Roman" w:eastAsia="Calibri" w:hAnsi="Times New Roman" w:cs="Times New Roman"/>
          <w:sz w:val="26"/>
          <w:szCs w:val="26"/>
        </w:rPr>
        <w:t>the</w:t>
      </w:r>
      <w:r w:rsidR="005D48B0" w:rsidRPr="00210BD3">
        <w:rPr>
          <w:rFonts w:ascii="Times New Roman" w:eastAsia="Calibri" w:hAnsi="Times New Roman" w:cs="Times New Roman"/>
          <w:sz w:val="26"/>
          <w:szCs w:val="26"/>
        </w:rPr>
        <w:tab/>
        <w:t xml:space="preserve">Subject </w:t>
      </w:r>
      <w:r w:rsidR="005D48B0" w:rsidRPr="00210BD3">
        <w:rPr>
          <w:rFonts w:ascii="Times New Roman" w:eastAsia="Calibri" w:hAnsi="Times New Roman" w:cs="Times New Roman"/>
          <w:sz w:val="26"/>
          <w:szCs w:val="26"/>
        </w:rPr>
        <w:tab/>
        <w:t xml:space="preserve">Mastery Enhances Quality Teaching to Student-Teachers during Teaching </w:t>
      </w:r>
      <w:r w:rsidR="005D48B0" w:rsidRPr="00210BD3">
        <w:rPr>
          <w:rFonts w:ascii="Times New Roman" w:eastAsia="Calibri" w:hAnsi="Times New Roman" w:cs="Times New Roman"/>
          <w:sz w:val="26"/>
          <w:szCs w:val="26"/>
        </w:rPr>
        <w:tab/>
        <w:t xml:space="preserve">Practice,” </w:t>
      </w:r>
      <w:r w:rsidR="005D48B0" w:rsidRPr="00210BD3">
        <w:rPr>
          <w:rFonts w:ascii="Times New Roman" w:eastAsia="Calibri" w:hAnsi="Times New Roman" w:cs="Times New Roman"/>
          <w:sz w:val="26"/>
          <w:szCs w:val="26"/>
        </w:rPr>
        <w:tab/>
      </w:r>
      <w:r w:rsidR="005D48B0" w:rsidRPr="00210BD3">
        <w:rPr>
          <w:rFonts w:ascii="Times New Roman" w:eastAsia="Calibri" w:hAnsi="Times New Roman" w:cs="Times New Roman"/>
          <w:i/>
          <w:iCs/>
          <w:sz w:val="26"/>
          <w:szCs w:val="26"/>
        </w:rPr>
        <w:t>International Journal of Education and Research,</w:t>
      </w:r>
      <w:r w:rsidR="005D48B0" w:rsidRPr="00210BD3">
        <w:rPr>
          <w:rFonts w:ascii="Times New Roman" w:eastAsia="Calibri" w:hAnsi="Times New Roman" w:cs="Times New Roman"/>
          <w:i/>
          <w:sz w:val="26"/>
          <w:szCs w:val="26"/>
        </w:rPr>
        <w:t>2</w:t>
      </w:r>
      <w:r w:rsidR="005D48B0" w:rsidRPr="00210BD3">
        <w:rPr>
          <w:rFonts w:ascii="Times New Roman" w:eastAsia="Calibri" w:hAnsi="Times New Roman" w:cs="Times New Roman"/>
          <w:sz w:val="26"/>
          <w:szCs w:val="26"/>
        </w:rPr>
        <w:t xml:space="preserve"> (7), 641-648,</w:t>
      </w:r>
    </w:p>
    <w:p w:rsidR="005D48B0" w:rsidRPr="00210BD3" w:rsidRDefault="005D48B0" w:rsidP="00965216">
      <w:pPr>
        <w:tabs>
          <w:tab w:val="left" w:pos="90"/>
        </w:tabs>
        <w:spacing w:after="0" w:line="240" w:lineRule="auto"/>
        <w:ind w:left="720" w:hanging="720"/>
        <w:jc w:val="both"/>
        <w:rPr>
          <w:rStyle w:val="15"/>
          <w:rFonts w:ascii="Times New Roman" w:eastAsia="Gungsuh" w:hAnsi="Times New Roman" w:cs="Times New Roman"/>
          <w:i/>
          <w:iCs/>
          <w:sz w:val="26"/>
          <w:szCs w:val="26"/>
        </w:rPr>
      </w:pPr>
      <w:r w:rsidRPr="00210BD3">
        <w:rPr>
          <w:rFonts w:ascii="Times New Roman" w:eastAsia="Calibri" w:hAnsi="Times New Roman" w:cs="Times New Roman"/>
          <w:sz w:val="26"/>
          <w:szCs w:val="26"/>
        </w:rPr>
        <w:lastRenderedPageBreak/>
        <w:t>Kola-Olusola, A. O. (2020).Entrepreneurship education and youth empowerment in Nigeria.</w:t>
      </w:r>
      <w:r w:rsidRPr="00210BD3">
        <w:rPr>
          <w:rFonts w:ascii="Times New Roman" w:eastAsia="Calibri" w:hAnsi="Times New Roman" w:cs="Times New Roman"/>
          <w:sz w:val="26"/>
          <w:szCs w:val="26"/>
        </w:rPr>
        <w:tab/>
      </w:r>
      <w:r w:rsidRPr="00210BD3">
        <w:rPr>
          <w:rFonts w:ascii="Times New Roman" w:eastAsia="Calibri" w:hAnsi="Times New Roman" w:cs="Times New Roman"/>
          <w:i/>
          <w:iCs/>
          <w:sz w:val="26"/>
          <w:szCs w:val="26"/>
        </w:rPr>
        <w:t xml:space="preserve">Journal of </w:t>
      </w:r>
      <w:r w:rsidRPr="00210BD3">
        <w:rPr>
          <w:rFonts w:ascii="Times New Roman" w:eastAsia="Calibri" w:hAnsi="Times New Roman" w:cs="Times New Roman"/>
          <w:i/>
          <w:iCs/>
          <w:sz w:val="26"/>
          <w:szCs w:val="26"/>
        </w:rPr>
        <w:tab/>
        <w:t>Entrepreneurship and Innovation</w:t>
      </w:r>
      <w:r w:rsidRPr="00210BD3">
        <w:rPr>
          <w:rFonts w:ascii="Times New Roman" w:eastAsia="Calibri" w:hAnsi="Times New Roman" w:cs="Times New Roman"/>
          <w:sz w:val="26"/>
          <w:szCs w:val="26"/>
        </w:rPr>
        <w:t xml:space="preserve">, </w:t>
      </w:r>
      <w:r w:rsidRPr="00210BD3">
        <w:rPr>
          <w:rFonts w:ascii="Times New Roman" w:eastAsia="Calibri" w:hAnsi="Times New Roman" w:cs="Times New Roman"/>
          <w:i/>
          <w:sz w:val="26"/>
          <w:szCs w:val="26"/>
        </w:rPr>
        <w:t>11</w:t>
      </w:r>
      <w:r w:rsidRPr="00210BD3">
        <w:rPr>
          <w:rFonts w:ascii="Times New Roman" w:eastAsia="Calibri" w:hAnsi="Times New Roman" w:cs="Times New Roman"/>
          <w:sz w:val="26"/>
          <w:szCs w:val="26"/>
        </w:rPr>
        <w:t>(2), 12-25</w:t>
      </w:r>
    </w:p>
    <w:p w:rsidR="005D48B0" w:rsidRPr="00210BD3" w:rsidRDefault="005D48B0" w:rsidP="00965216">
      <w:pPr>
        <w:tabs>
          <w:tab w:val="left" w:pos="90"/>
        </w:tabs>
        <w:spacing w:after="0" w:line="240" w:lineRule="auto"/>
        <w:ind w:left="720" w:hanging="720"/>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Kurt, S. (2017). </w:t>
      </w:r>
      <w:r w:rsidRPr="00210BD3">
        <w:rPr>
          <w:rFonts w:ascii="Times New Roman" w:eastAsia="Calibri" w:hAnsi="Times New Roman" w:cs="Times New Roman"/>
          <w:i/>
          <w:sz w:val="26"/>
          <w:szCs w:val="26"/>
        </w:rPr>
        <w:t>Definitions of Instructional Design</w:t>
      </w:r>
      <w:r w:rsidRPr="00210BD3">
        <w:rPr>
          <w:rFonts w:ascii="Times New Roman" w:eastAsia="Calibri" w:hAnsi="Times New Roman" w:cs="Times New Roman"/>
          <w:sz w:val="26"/>
          <w:szCs w:val="26"/>
        </w:rPr>
        <w:t>. Educational Technology</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Ladzani, W. M. (2016). Entrepreneurship education and business consciousness among students.</w:t>
      </w:r>
      <w:r w:rsidRPr="00210BD3">
        <w:rPr>
          <w:rStyle w:val="15"/>
          <w:rFonts w:ascii="Times New Roman" w:eastAsia="Calibri" w:hAnsi="Times New Roman" w:cs="Times New Roman"/>
          <w:sz w:val="26"/>
          <w:szCs w:val="26"/>
        </w:rPr>
        <w:tab/>
        <w:t xml:space="preserve">Journal of </w:t>
      </w:r>
      <w:r w:rsidRPr="00210BD3">
        <w:rPr>
          <w:rStyle w:val="15"/>
          <w:rFonts w:ascii="Times New Roman" w:eastAsia="Calibri" w:hAnsi="Times New Roman" w:cs="Times New Roman"/>
          <w:sz w:val="26"/>
          <w:szCs w:val="26"/>
        </w:rPr>
        <w:tab/>
        <w:t>Business and Economic Studies, 12(2), 133-144.</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Mwakinyele, G. N. (2018). Impact of entrepreneurship education on secondary school</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 xml:space="preserve">students in </w:t>
      </w:r>
      <w:r w:rsidRPr="00210BD3">
        <w:rPr>
          <w:rStyle w:val="15"/>
          <w:rFonts w:ascii="Times New Roman" w:eastAsia="Calibri" w:hAnsi="Times New Roman" w:cs="Times New Roman"/>
          <w:sz w:val="26"/>
          <w:szCs w:val="26"/>
        </w:rPr>
        <w:tab/>
        <w:t>Nigeria. Journal of Education and Human Development, 7(1), 1-11.</w:t>
      </w:r>
    </w:p>
    <w:p w:rsidR="005D48B0" w:rsidRPr="00210BD3" w:rsidRDefault="005D48B0" w:rsidP="00965216">
      <w:pPr>
        <w:tabs>
          <w:tab w:val="left" w:pos="90"/>
        </w:tabs>
        <w:spacing w:after="0" w:line="240" w:lineRule="auto"/>
        <w:ind w:left="720" w:hanging="720"/>
        <w:jc w:val="both"/>
        <w:rPr>
          <w:rFonts w:ascii="Times New Roman" w:eastAsia="Gungsuh" w:hAnsi="Times New Roman" w:cs="Times New Roman"/>
          <w:sz w:val="26"/>
          <w:szCs w:val="26"/>
        </w:rPr>
      </w:pPr>
      <w:r w:rsidRPr="00210BD3">
        <w:rPr>
          <w:rFonts w:ascii="Times New Roman" w:eastAsia="Gungsuh" w:hAnsi="Times New Roman" w:cs="Times New Roman"/>
          <w:sz w:val="26"/>
          <w:szCs w:val="26"/>
        </w:rPr>
        <w:t>Ndifon, G. &amp; Igwebuike, O. (2019). Institutional academic culture and effective</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Gungsuh" w:hAnsi="Times New Roman" w:cs="Times New Roman"/>
          <w:sz w:val="26"/>
          <w:szCs w:val="26"/>
        </w:rPr>
        <w:t xml:space="preserve">implementation of </w:t>
      </w:r>
      <w:r w:rsidRPr="00210BD3">
        <w:rPr>
          <w:rFonts w:ascii="Times New Roman" w:eastAsia="Gungsuh" w:hAnsi="Times New Roman" w:cs="Times New Roman"/>
          <w:sz w:val="26"/>
          <w:szCs w:val="26"/>
        </w:rPr>
        <w:tab/>
        <w:t>Educational Technology Curriculum in Tertiary Institutions   in Cross River State, Nigeria</w:t>
      </w:r>
      <w:r w:rsidRPr="00210BD3">
        <w:rPr>
          <w:rStyle w:val="15"/>
          <w:rFonts w:ascii="Times New Roman" w:eastAsia="Calibri" w:hAnsi="Times New Roman" w:cs="Times New Roman"/>
          <w:sz w:val="26"/>
          <w:szCs w:val="26"/>
        </w:rPr>
        <w:t xml:space="preserve">. </w:t>
      </w:r>
      <w:r w:rsidRPr="00210BD3">
        <w:rPr>
          <w:rStyle w:val="15"/>
          <w:rFonts w:ascii="Times New Roman" w:eastAsia="Calibri" w:hAnsi="Times New Roman" w:cs="Times New Roman"/>
          <w:sz w:val="26"/>
          <w:szCs w:val="26"/>
        </w:rPr>
        <w:tab/>
      </w:r>
      <w:r w:rsidRPr="00210BD3">
        <w:rPr>
          <w:rFonts w:ascii="Times New Roman" w:eastAsia="Calibri" w:hAnsi="Times New Roman" w:cs="Times New Roman"/>
          <w:i/>
          <w:sz w:val="26"/>
          <w:szCs w:val="26"/>
        </w:rPr>
        <w:t>International Journal of Education, Learning andDevelopment</w:t>
      </w:r>
      <w:r w:rsidRPr="00210BD3">
        <w:rPr>
          <w:rFonts w:ascii="Times New Roman" w:eastAsia="Calibri" w:hAnsi="Times New Roman" w:cs="Times New Roman"/>
          <w:sz w:val="26"/>
          <w:szCs w:val="26"/>
        </w:rPr>
        <w:t>, 7(1),12-18</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Offorma, G.C. (2015). </w:t>
      </w:r>
      <w:r w:rsidRPr="00210BD3">
        <w:rPr>
          <w:rFonts w:ascii="Times New Roman" w:eastAsia="Calibri" w:hAnsi="Times New Roman" w:cs="Times New Roman"/>
          <w:iCs/>
          <w:sz w:val="26"/>
          <w:szCs w:val="26"/>
        </w:rPr>
        <w:t>Curriculum for wealth creation</w:t>
      </w:r>
      <w:r w:rsidRPr="00210BD3">
        <w:rPr>
          <w:rFonts w:ascii="Times New Roman" w:eastAsia="Calibri" w:hAnsi="Times New Roman" w:cs="Times New Roman"/>
          <w:sz w:val="26"/>
          <w:szCs w:val="26"/>
        </w:rPr>
        <w:t>.</w:t>
      </w:r>
      <w:r w:rsidRPr="00210BD3">
        <w:rPr>
          <w:rFonts w:ascii="Times New Roman" w:eastAsia="Calibri" w:hAnsi="Times New Roman" w:cs="Times New Roman"/>
          <w:i/>
          <w:sz w:val="26"/>
          <w:szCs w:val="26"/>
        </w:rPr>
        <w:t>A paper presented</w:t>
      </w:r>
      <w:r w:rsidR="00965216">
        <w:rPr>
          <w:rFonts w:ascii="Times New Roman" w:eastAsia="Calibri" w:hAnsi="Times New Roman" w:cs="Times New Roman"/>
          <w:sz w:val="26"/>
          <w:szCs w:val="26"/>
        </w:rPr>
        <w:t xml:space="preserve"> at the seminar of </w:t>
      </w:r>
      <w:r w:rsidRPr="00210BD3">
        <w:rPr>
          <w:rFonts w:ascii="Times New Roman" w:eastAsia="Calibri" w:hAnsi="Times New Roman" w:cs="Times New Roman"/>
          <w:sz w:val="26"/>
          <w:szCs w:val="26"/>
        </w:rPr>
        <w:t xml:space="preserve">the </w:t>
      </w:r>
      <w:r w:rsidRPr="00210BD3">
        <w:rPr>
          <w:rFonts w:ascii="Times New Roman" w:eastAsia="Calibri" w:hAnsi="Times New Roman" w:cs="Times New Roman"/>
          <w:sz w:val="26"/>
          <w:szCs w:val="26"/>
        </w:rPr>
        <w:tab/>
        <w:t xml:space="preserve">world </w:t>
      </w:r>
      <w:r w:rsidRPr="00210BD3">
        <w:rPr>
          <w:rFonts w:ascii="Times New Roman" w:eastAsia="Calibri" w:hAnsi="Times New Roman" w:cs="Times New Roman"/>
          <w:sz w:val="26"/>
          <w:szCs w:val="26"/>
        </w:rPr>
        <w:tab/>
        <w:t xml:space="preserve">council for curriculum and instruction held at the Federal College of Education, </w:t>
      </w:r>
      <w:r w:rsidRPr="00210BD3">
        <w:rPr>
          <w:rFonts w:ascii="Times New Roman" w:eastAsia="Calibri" w:hAnsi="Times New Roman" w:cs="Times New Roman"/>
          <w:sz w:val="26"/>
          <w:szCs w:val="26"/>
        </w:rPr>
        <w:tab/>
        <w:t>Kano</w:t>
      </w:r>
    </w:p>
    <w:p w:rsidR="005D48B0" w:rsidRPr="00210BD3" w:rsidRDefault="005D48B0" w:rsidP="00965216">
      <w:pPr>
        <w:tabs>
          <w:tab w:val="left" w:pos="90"/>
        </w:tabs>
        <w:spacing w:after="0" w:line="240" w:lineRule="auto"/>
        <w:ind w:left="720" w:hanging="720"/>
        <w:jc w:val="both"/>
        <w:rPr>
          <w:rStyle w:val="15"/>
          <w:rFonts w:ascii="Times New Roman" w:eastAsia="Calibri" w:hAnsi="Times New Roman" w:cs="Times New Roman"/>
          <w:i/>
          <w:iCs/>
          <w:sz w:val="26"/>
          <w:szCs w:val="26"/>
        </w:rPr>
      </w:pPr>
      <w:r w:rsidRPr="00210BD3">
        <w:rPr>
          <w:rStyle w:val="15"/>
          <w:rFonts w:ascii="Times New Roman" w:eastAsia="Calibri" w:hAnsi="Times New Roman" w:cs="Times New Roman"/>
          <w:sz w:val="26"/>
          <w:szCs w:val="26"/>
        </w:rPr>
        <w:t>Omidan, R. O. (2019). Challenges facing entrepreneurship education in Nigerian secondaryschools.</w:t>
      </w:r>
      <w:r w:rsidRPr="00210BD3">
        <w:rPr>
          <w:rStyle w:val="15"/>
          <w:rFonts w:ascii="Times New Roman" w:eastAsia="Calibri" w:hAnsi="Times New Roman" w:cs="Times New Roman"/>
          <w:sz w:val="26"/>
          <w:szCs w:val="26"/>
        </w:rPr>
        <w:tab/>
        <w:t xml:space="preserve">Journal </w:t>
      </w:r>
      <w:r w:rsidRPr="00210BD3">
        <w:rPr>
          <w:rStyle w:val="15"/>
          <w:rFonts w:ascii="Times New Roman" w:eastAsia="Calibri" w:hAnsi="Times New Roman" w:cs="Times New Roman"/>
          <w:sz w:val="26"/>
          <w:szCs w:val="26"/>
        </w:rPr>
        <w:tab/>
        <w:t>of Education and Social Research, 9(2), 145-156.</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Tyler, R. W. (1949). </w:t>
      </w:r>
      <w:r w:rsidRPr="00210BD3">
        <w:rPr>
          <w:rFonts w:ascii="Times New Roman" w:eastAsia="Calibri" w:hAnsi="Times New Roman" w:cs="Times New Roman"/>
          <w:i/>
          <w:iCs/>
          <w:sz w:val="26"/>
          <w:szCs w:val="26"/>
        </w:rPr>
        <w:t>Basic principles of curriculum and instruction</w:t>
      </w:r>
      <w:r w:rsidRPr="00210BD3">
        <w:rPr>
          <w:rFonts w:ascii="Times New Roman" w:eastAsia="Calibri" w:hAnsi="Times New Roman" w:cs="Times New Roman"/>
          <w:sz w:val="26"/>
          <w:szCs w:val="26"/>
        </w:rPr>
        <w:t>. University of</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sz w:val="26"/>
          <w:szCs w:val="26"/>
        </w:rPr>
        <w:t xml:space="preserve"> Chicago Press.</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i/>
          <w:iCs/>
          <w:sz w:val="26"/>
          <w:szCs w:val="26"/>
        </w:rPr>
      </w:pPr>
      <w:r w:rsidRPr="00210BD3">
        <w:rPr>
          <w:rFonts w:ascii="Times New Roman" w:eastAsia="Calibri" w:hAnsi="Times New Roman" w:cs="Times New Roman"/>
          <w:sz w:val="26"/>
          <w:szCs w:val="26"/>
        </w:rPr>
        <w:t xml:space="preserve"> Vygotsky, L. S. (1978). </w:t>
      </w:r>
      <w:r w:rsidRPr="00210BD3">
        <w:rPr>
          <w:rFonts w:ascii="Times New Roman" w:eastAsia="Calibri" w:hAnsi="Times New Roman" w:cs="Times New Roman"/>
          <w:i/>
          <w:iCs/>
          <w:sz w:val="26"/>
          <w:szCs w:val="26"/>
        </w:rPr>
        <w:t xml:space="preserve">Mind in society: The development of higher psychological </w:t>
      </w:r>
    </w:p>
    <w:p w:rsidR="005D48B0" w:rsidRPr="00210BD3" w:rsidRDefault="005D48B0" w:rsidP="00965216">
      <w:pPr>
        <w:tabs>
          <w:tab w:val="left" w:pos="90"/>
        </w:tabs>
        <w:spacing w:after="0" w:line="240" w:lineRule="auto"/>
        <w:ind w:left="720" w:hanging="720"/>
        <w:jc w:val="both"/>
        <w:rPr>
          <w:rFonts w:ascii="Times New Roman" w:eastAsia="Calibri" w:hAnsi="Times New Roman" w:cs="Times New Roman"/>
          <w:sz w:val="26"/>
          <w:szCs w:val="26"/>
        </w:rPr>
      </w:pPr>
      <w:r w:rsidRPr="00210BD3">
        <w:rPr>
          <w:rFonts w:ascii="Times New Roman" w:eastAsia="Calibri" w:hAnsi="Times New Roman" w:cs="Times New Roman"/>
          <w:i/>
          <w:iCs/>
          <w:sz w:val="26"/>
          <w:szCs w:val="26"/>
        </w:rPr>
        <w:tab/>
        <w:t>processes</w:t>
      </w:r>
      <w:r w:rsidRPr="00210BD3">
        <w:rPr>
          <w:rFonts w:ascii="Times New Roman" w:eastAsia="Calibri" w:hAnsi="Times New Roman" w:cs="Times New Roman"/>
          <w:sz w:val="26"/>
          <w:szCs w:val="26"/>
        </w:rPr>
        <w:t xml:space="preserve">. </w:t>
      </w:r>
      <w:r w:rsidRPr="00210BD3">
        <w:rPr>
          <w:rFonts w:ascii="Times New Roman" w:eastAsia="Calibri" w:hAnsi="Times New Roman" w:cs="Times New Roman"/>
          <w:sz w:val="26"/>
          <w:szCs w:val="26"/>
        </w:rPr>
        <w:tab/>
        <w:t xml:space="preserve">Harvard </w:t>
      </w:r>
      <w:r w:rsidRPr="00210BD3">
        <w:rPr>
          <w:rFonts w:ascii="Times New Roman" w:eastAsia="Calibri" w:hAnsi="Times New Roman" w:cs="Times New Roman"/>
          <w:sz w:val="26"/>
          <w:szCs w:val="26"/>
        </w:rPr>
        <w:tab/>
        <w:t>University Press.</w:t>
      </w:r>
    </w:p>
    <w:p w:rsidR="00503B78" w:rsidRDefault="00503B78">
      <w:pPr>
        <w:rPr>
          <w:rFonts w:ascii="Times New Roman" w:hAnsi="Times New Roman" w:cs="Times New Roman"/>
          <w:sz w:val="26"/>
          <w:szCs w:val="26"/>
        </w:rPr>
      </w:pPr>
      <w:r>
        <w:rPr>
          <w:rFonts w:ascii="Times New Roman" w:hAnsi="Times New Roman" w:cs="Times New Roman"/>
          <w:sz w:val="26"/>
          <w:szCs w:val="26"/>
        </w:rPr>
        <w:br w:type="page"/>
      </w:r>
    </w:p>
    <w:p w:rsidR="00503B78" w:rsidRDefault="00503B78" w:rsidP="00503B78">
      <w:pPr>
        <w:spacing w:after="0" w:line="240" w:lineRule="auto"/>
        <w:jc w:val="center"/>
        <w:rPr>
          <w:rFonts w:ascii="Times New Roman" w:hAnsi="Times New Roman" w:cs="Times New Roman"/>
          <w:b/>
          <w:sz w:val="26"/>
          <w:szCs w:val="26"/>
        </w:rPr>
      </w:pPr>
      <w:r w:rsidRPr="00381D63">
        <w:rPr>
          <w:rFonts w:ascii="Times New Roman" w:hAnsi="Times New Roman" w:cs="Times New Roman"/>
          <w:b/>
          <w:sz w:val="26"/>
          <w:szCs w:val="26"/>
        </w:rPr>
        <w:lastRenderedPageBreak/>
        <w:t xml:space="preserve">NASCENT TECHNOLOGIES AND THE TRAINING OF </w:t>
      </w:r>
    </w:p>
    <w:p w:rsidR="00503B78" w:rsidRDefault="00503B78" w:rsidP="00503B78">
      <w:pPr>
        <w:spacing w:after="0" w:line="240" w:lineRule="auto"/>
        <w:jc w:val="center"/>
        <w:rPr>
          <w:rFonts w:ascii="Times New Roman" w:hAnsi="Times New Roman" w:cs="Times New Roman"/>
          <w:b/>
          <w:sz w:val="26"/>
          <w:szCs w:val="26"/>
        </w:rPr>
      </w:pPr>
      <w:r w:rsidRPr="00381D63">
        <w:rPr>
          <w:rFonts w:ascii="Times New Roman" w:hAnsi="Times New Roman" w:cs="Times New Roman"/>
          <w:b/>
          <w:sz w:val="26"/>
          <w:szCs w:val="26"/>
        </w:rPr>
        <w:t xml:space="preserve">BUSINESS EDUCATION STUDENTS IN </w:t>
      </w:r>
    </w:p>
    <w:p w:rsidR="00503B78" w:rsidRPr="00381D63" w:rsidRDefault="00503B78" w:rsidP="00503B78">
      <w:pPr>
        <w:spacing w:after="0" w:line="240" w:lineRule="auto"/>
        <w:jc w:val="center"/>
        <w:rPr>
          <w:rFonts w:ascii="Times New Roman" w:hAnsi="Times New Roman" w:cs="Times New Roman"/>
          <w:b/>
          <w:sz w:val="26"/>
          <w:szCs w:val="26"/>
        </w:rPr>
      </w:pPr>
      <w:r w:rsidRPr="00381D63">
        <w:rPr>
          <w:rFonts w:ascii="Times New Roman" w:hAnsi="Times New Roman" w:cs="Times New Roman"/>
          <w:b/>
          <w:sz w:val="26"/>
          <w:szCs w:val="26"/>
        </w:rPr>
        <w:t>TERTIARY INSTITUTION IN CROSS RIVER STATE</w:t>
      </w:r>
    </w:p>
    <w:p w:rsidR="00503B78" w:rsidRPr="00381D63" w:rsidRDefault="00503B78" w:rsidP="00503B78">
      <w:pPr>
        <w:spacing w:after="0" w:line="240" w:lineRule="auto"/>
        <w:jc w:val="center"/>
        <w:rPr>
          <w:rFonts w:ascii="Times New Roman" w:hAnsi="Times New Roman" w:cs="Times New Roman"/>
          <w:b/>
          <w:sz w:val="26"/>
          <w:szCs w:val="26"/>
        </w:rPr>
      </w:pPr>
    </w:p>
    <w:p w:rsidR="00503B78" w:rsidRPr="00503B78" w:rsidRDefault="00503B78" w:rsidP="00503B78">
      <w:pPr>
        <w:spacing w:after="0" w:line="240" w:lineRule="auto"/>
        <w:jc w:val="center"/>
        <w:rPr>
          <w:rFonts w:ascii="Times New Roman" w:hAnsi="Times New Roman" w:cs="Times New Roman"/>
          <w:b/>
          <w:sz w:val="26"/>
          <w:szCs w:val="26"/>
        </w:rPr>
      </w:pPr>
      <w:r w:rsidRPr="00503B78">
        <w:rPr>
          <w:rFonts w:ascii="Times New Roman" w:hAnsi="Times New Roman" w:cs="Times New Roman"/>
          <w:b/>
          <w:sz w:val="26"/>
          <w:szCs w:val="26"/>
        </w:rPr>
        <w:t>Eleng S. N Ph.D</w:t>
      </w:r>
    </w:p>
    <w:p w:rsidR="00503B78" w:rsidRPr="00503B78" w:rsidRDefault="00503B78" w:rsidP="00503B78">
      <w:pPr>
        <w:spacing w:after="0" w:line="240" w:lineRule="auto"/>
        <w:jc w:val="center"/>
        <w:rPr>
          <w:rFonts w:ascii="Times New Roman" w:hAnsi="Times New Roman" w:cs="Times New Roman"/>
          <w:b/>
          <w:sz w:val="26"/>
          <w:szCs w:val="26"/>
        </w:rPr>
      </w:pPr>
      <w:r w:rsidRPr="00503B78">
        <w:rPr>
          <w:rFonts w:ascii="Times New Roman" w:hAnsi="Times New Roman" w:cs="Times New Roman"/>
          <w:b/>
          <w:sz w:val="26"/>
          <w:szCs w:val="26"/>
        </w:rPr>
        <w:t>elengseyifunmi@unical.edu.ng</w:t>
      </w:r>
    </w:p>
    <w:p w:rsidR="00503B78" w:rsidRPr="00503B78" w:rsidRDefault="00503B78" w:rsidP="00503B78">
      <w:pPr>
        <w:spacing w:after="0" w:line="240" w:lineRule="auto"/>
        <w:ind w:left="3600" w:firstLine="720"/>
        <w:rPr>
          <w:rFonts w:ascii="Times New Roman" w:hAnsi="Times New Roman" w:cs="Times New Roman"/>
          <w:b/>
          <w:sz w:val="26"/>
          <w:szCs w:val="26"/>
        </w:rPr>
      </w:pPr>
      <w:r w:rsidRPr="00503B78">
        <w:rPr>
          <w:rFonts w:ascii="Times New Roman" w:hAnsi="Times New Roman" w:cs="Times New Roman"/>
          <w:b/>
          <w:sz w:val="26"/>
          <w:szCs w:val="26"/>
        </w:rPr>
        <w:t>&amp;</w:t>
      </w:r>
    </w:p>
    <w:p w:rsidR="00503B78" w:rsidRPr="00503B78" w:rsidRDefault="00503B78" w:rsidP="00503B78">
      <w:pPr>
        <w:spacing w:after="0" w:line="240" w:lineRule="auto"/>
        <w:contextualSpacing/>
        <w:jc w:val="center"/>
        <w:rPr>
          <w:rFonts w:ascii="Times New Roman" w:hAnsi="Times New Roman" w:cs="Times New Roman"/>
          <w:b/>
          <w:sz w:val="26"/>
          <w:szCs w:val="26"/>
        </w:rPr>
      </w:pPr>
      <w:r w:rsidRPr="00503B78">
        <w:rPr>
          <w:rFonts w:ascii="Times New Roman" w:hAnsi="Times New Roman" w:cs="Times New Roman"/>
          <w:b/>
          <w:sz w:val="26"/>
          <w:szCs w:val="26"/>
        </w:rPr>
        <w:t>Akeke, M. N.G. Ph.D</w:t>
      </w:r>
    </w:p>
    <w:p w:rsidR="00503B78" w:rsidRPr="00503B78" w:rsidRDefault="00503B78" w:rsidP="00503B78">
      <w:pPr>
        <w:spacing w:after="0" w:line="240" w:lineRule="auto"/>
        <w:contextualSpacing/>
        <w:jc w:val="center"/>
        <w:rPr>
          <w:rFonts w:ascii="Times New Roman" w:hAnsi="Times New Roman" w:cs="Times New Roman"/>
          <w:b/>
          <w:sz w:val="26"/>
          <w:szCs w:val="26"/>
        </w:rPr>
      </w:pPr>
      <w:r w:rsidRPr="00503B78">
        <w:rPr>
          <w:rFonts w:ascii="Times New Roman" w:hAnsi="Times New Roman" w:cs="Times New Roman"/>
          <w:b/>
          <w:sz w:val="26"/>
          <w:szCs w:val="26"/>
        </w:rPr>
        <w:t>mercyakeke@unical.edu.ng</w:t>
      </w:r>
    </w:p>
    <w:p w:rsidR="00503B78" w:rsidRPr="00503B78" w:rsidRDefault="00503B78" w:rsidP="00503B78">
      <w:pPr>
        <w:spacing w:line="240" w:lineRule="auto"/>
        <w:contextualSpacing/>
        <w:jc w:val="center"/>
        <w:rPr>
          <w:rFonts w:ascii="Times New Roman" w:hAnsi="Times New Roman" w:cs="Times New Roman"/>
          <w:b/>
          <w:sz w:val="26"/>
          <w:szCs w:val="26"/>
        </w:rPr>
      </w:pPr>
      <w:r w:rsidRPr="00503B78">
        <w:rPr>
          <w:rFonts w:ascii="Times New Roman" w:hAnsi="Times New Roman" w:cs="Times New Roman"/>
          <w:b/>
          <w:sz w:val="26"/>
          <w:szCs w:val="26"/>
        </w:rPr>
        <w:t>Department of Vocational Education, University of Calabar</w:t>
      </w:r>
    </w:p>
    <w:p w:rsidR="00503B78" w:rsidRPr="00381D63" w:rsidRDefault="00503B78" w:rsidP="00503B78">
      <w:pPr>
        <w:spacing w:line="240" w:lineRule="auto"/>
        <w:jc w:val="both"/>
        <w:rPr>
          <w:rFonts w:ascii="Times New Roman" w:hAnsi="Times New Roman" w:cs="Times New Roman"/>
          <w:sz w:val="26"/>
          <w:szCs w:val="26"/>
        </w:rPr>
      </w:pPr>
    </w:p>
    <w:p w:rsidR="00503B78" w:rsidRPr="00381D63" w:rsidRDefault="00503B78" w:rsidP="00503B78">
      <w:pPr>
        <w:spacing w:after="0" w:line="240" w:lineRule="auto"/>
        <w:jc w:val="center"/>
        <w:rPr>
          <w:rFonts w:ascii="Times New Roman" w:hAnsi="Times New Roman" w:cs="Times New Roman"/>
          <w:sz w:val="26"/>
          <w:szCs w:val="26"/>
        </w:rPr>
      </w:pPr>
      <w:r w:rsidRPr="00381D63">
        <w:rPr>
          <w:rFonts w:ascii="Times New Roman" w:hAnsi="Times New Roman" w:cs="Times New Roman"/>
          <w:b/>
          <w:sz w:val="26"/>
          <w:szCs w:val="26"/>
        </w:rPr>
        <w:t>ABSTRACT</w:t>
      </w:r>
    </w:p>
    <w:p w:rsidR="00503B78" w:rsidRPr="00381D63" w:rsidRDefault="00503B78" w:rsidP="00503B78">
      <w:pPr>
        <w:spacing w:line="240" w:lineRule="auto"/>
        <w:jc w:val="both"/>
        <w:rPr>
          <w:rFonts w:ascii="Times New Roman" w:hAnsi="Times New Roman" w:cs="Times New Roman"/>
          <w:sz w:val="26"/>
          <w:szCs w:val="26"/>
        </w:rPr>
      </w:pPr>
      <w:r w:rsidRPr="00381D63">
        <w:rPr>
          <w:rFonts w:ascii="Times New Roman" w:hAnsi="Times New Roman" w:cs="Times New Roman"/>
          <w:sz w:val="26"/>
          <w:szCs w:val="26"/>
        </w:rPr>
        <w:t xml:space="preserve">The main purpose of the study was to determine the influence of nascent technologies and the training of Business Education students in the University of Calabar, Cross River State. Survey research design was adopted for the study. Relevant literature was reviewed. The population of the study was 494 Business Education students which comprised 314 females and 180 males. Stratified random sampling technique was adopted with a sample size of 149 respondents drawn. A twenty-four item structured questionnaire titled Nascent Technologies and the Training of Business Education Students Questionnaire </w:t>
      </w:r>
      <w:bookmarkStart w:id="0" w:name="_Hlk197378267"/>
      <w:r w:rsidRPr="00381D63">
        <w:rPr>
          <w:rFonts w:ascii="Times New Roman" w:hAnsi="Times New Roman" w:cs="Times New Roman"/>
          <w:sz w:val="26"/>
          <w:szCs w:val="26"/>
        </w:rPr>
        <w:t>(NTTOBESQ</w:t>
      </w:r>
      <w:bookmarkEnd w:id="0"/>
      <w:r w:rsidRPr="00381D63">
        <w:rPr>
          <w:rFonts w:ascii="Times New Roman" w:hAnsi="Times New Roman" w:cs="Times New Roman"/>
          <w:sz w:val="26"/>
          <w:szCs w:val="26"/>
        </w:rPr>
        <w:t>) was designed by the researcher for data collection. The questionnaire was validated by three experts in the Faculty of Vocational and Entrepreneurship Education, University of Calabar. The data collected were analyzed using Independent t–test. Descriptive statistics was used to answer the research questions and independent t-test was used to test the null hypotheses at .05 level of significance. The analyzed data indicated that the calculated value is greater than the critical value. With this, the null hypothesis was rejected. Therefore, there is significant difference in the mean response of male and female students on the impact of modern computers, Liquid Crystal Display (LCD) projectors, and the training of Business Education students in University of Calabar. Based on the findings, the study recommends among others that the Federal Government through the Ministry of Education in collaboration with Nigerian University Commission should ensure that Federal Universities running Business Education programme are equipped with Modern Computers and Liquid Crystal Display (LCD) projector to enhance the training of Business Education students.</w:t>
      </w:r>
    </w:p>
    <w:p w:rsidR="00503B78" w:rsidRPr="00381D63" w:rsidRDefault="00503B78" w:rsidP="00503B78">
      <w:pPr>
        <w:spacing w:line="240" w:lineRule="auto"/>
        <w:jc w:val="both"/>
        <w:rPr>
          <w:rFonts w:ascii="Times New Roman" w:hAnsi="Times New Roman" w:cs="Times New Roman"/>
          <w:sz w:val="26"/>
          <w:szCs w:val="26"/>
        </w:rPr>
      </w:pPr>
      <w:r w:rsidRPr="00503B78">
        <w:rPr>
          <w:rFonts w:ascii="Times New Roman" w:hAnsi="Times New Roman" w:cs="Times New Roman"/>
          <w:b/>
          <w:sz w:val="26"/>
          <w:szCs w:val="26"/>
        </w:rPr>
        <w:t>Keywords:</w:t>
      </w:r>
      <w:r w:rsidRPr="00381D63">
        <w:rPr>
          <w:rFonts w:ascii="Times New Roman" w:hAnsi="Times New Roman" w:cs="Times New Roman"/>
          <w:sz w:val="26"/>
          <w:szCs w:val="26"/>
        </w:rPr>
        <w:t xml:space="preserve"> Nascent, technologies, training, business education, students, tertiary institutions</w:t>
      </w:r>
    </w:p>
    <w:p w:rsidR="00503B78" w:rsidRDefault="00503B78" w:rsidP="00503B78">
      <w:pPr>
        <w:spacing w:after="0" w:line="240" w:lineRule="auto"/>
        <w:jc w:val="both"/>
        <w:rPr>
          <w:rFonts w:ascii="Times New Roman" w:hAnsi="Times New Roman" w:cs="Times New Roman"/>
          <w:b/>
          <w:sz w:val="26"/>
          <w:szCs w:val="26"/>
        </w:rPr>
        <w:sectPr w:rsidR="00503B78" w:rsidSect="00210BD3">
          <w:type w:val="continuous"/>
          <w:pgSz w:w="12240" w:h="15840" w:code="1"/>
          <w:pgMar w:top="1440" w:right="1440" w:bottom="1440" w:left="1440" w:header="706" w:footer="706" w:gutter="0"/>
          <w:cols w:space="708"/>
          <w:docGrid w:linePitch="360"/>
        </w:sect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lastRenderedPageBreak/>
        <w:t>Introduction</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Technology has permeated every facet of human endeavours. In recent time, technology has revolutionized the way organisations operate. As noted by Akuegwu </w:t>
      </w:r>
      <w:r w:rsidRPr="00381D63">
        <w:rPr>
          <w:rFonts w:ascii="Times New Roman" w:hAnsi="Times New Roman" w:cs="Times New Roman"/>
          <w:i/>
          <w:iCs/>
          <w:sz w:val="26"/>
          <w:szCs w:val="26"/>
        </w:rPr>
        <w:t>et al.</w:t>
      </w:r>
      <w:r w:rsidRPr="00381D63">
        <w:rPr>
          <w:rFonts w:ascii="Times New Roman" w:hAnsi="Times New Roman" w:cs="Times New Roman"/>
          <w:sz w:val="26"/>
          <w:szCs w:val="26"/>
        </w:rPr>
        <w:t xml:space="preserve"> (2024), the world is </w:t>
      </w:r>
      <w:r w:rsidRPr="00381D63">
        <w:rPr>
          <w:rFonts w:ascii="Times New Roman" w:hAnsi="Times New Roman" w:cs="Times New Roman"/>
          <w:sz w:val="26"/>
          <w:szCs w:val="26"/>
        </w:rPr>
        <w:lastRenderedPageBreak/>
        <w:t xml:space="preserve">undergoing a tremendous transformation where the information age has taken center stage with technology as the leading light. It is reshaping the way and manner in which humans live, interact with one another and undertake their </w:t>
      </w:r>
      <w:r w:rsidRPr="00381D63">
        <w:rPr>
          <w:rFonts w:ascii="Times New Roman" w:hAnsi="Times New Roman" w:cs="Times New Roman"/>
          <w:sz w:val="26"/>
          <w:szCs w:val="26"/>
        </w:rPr>
        <w:lastRenderedPageBreak/>
        <w:t xml:space="preserve">general activities. Advanced technology has helped in the development of new organizational work practices, training and methods. Igbongidi (2022) observed that, in recent time, educational institutions especially business education have started changing their teaching methods particularly due to technology. </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Technology, according to Njoku as cited in Israel and Lasun (2016), is the replication of the scientific method into solving problems in our daily life. Technology is a body of knowledge devoted to creating tools, processing actions and the extracting of materials. Agim </w:t>
      </w:r>
      <w:r w:rsidRPr="00381D63">
        <w:rPr>
          <w:rFonts w:ascii="Times New Roman" w:hAnsi="Times New Roman" w:cs="Times New Roman"/>
          <w:i/>
          <w:iCs/>
          <w:sz w:val="26"/>
          <w:szCs w:val="26"/>
        </w:rPr>
        <w:t>et al.</w:t>
      </w:r>
      <w:r w:rsidRPr="00381D63">
        <w:rPr>
          <w:rFonts w:ascii="Times New Roman" w:hAnsi="Times New Roman" w:cs="Times New Roman"/>
          <w:sz w:val="26"/>
          <w:szCs w:val="26"/>
        </w:rPr>
        <w:t xml:space="preserve"> (2020) defined technology as the making, modification, usage, and knowledge of tools, machines, techniques, crafts, systems and methods of organization in order to solve a problem, improve a pre-existing solution to a problem, achieve a goal, handle an applied input or output relation or perform a specific function. The world has gone technological and this has pervaded every field of endeavor including Business Education.</w:t>
      </w:r>
    </w:p>
    <w:p w:rsidR="00503B78" w:rsidRPr="00381D63" w:rsidRDefault="00503B78" w:rsidP="00503B78">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xml:space="preserve">Technology has been used to achieve success in delivering instructions in schools, colleges and universities. Igbongidi (2022) observed that as some of these technologies are becoming outdated, others are nascent which are more difficult in operations and application. There is a rise in the need to employ these new technologies in schools and organizations in this era. As these technologies are used in schools, lecturers use them for research purposes, to search for information, prepare lecture notes, and as well as in teaching and learning. However, nascent technologies in business education should include </w:t>
      </w:r>
      <w:r w:rsidRPr="00381D63">
        <w:rPr>
          <w:rFonts w:ascii="Times New Roman" w:hAnsi="Times New Roman" w:cs="Times New Roman"/>
          <w:sz w:val="26"/>
          <w:szCs w:val="26"/>
        </w:rPr>
        <w:lastRenderedPageBreak/>
        <w:t>skills learning and innovation, digital literacy as well as career and life skills for the students (Eleng&amp; Ushie, 2024).</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Nascent technologies are emerging or developing technologies in their early stages of development, often with potential for significant innovations. This technology prepares Business Education students for a variety of careers in high-tech business fields. No doubt, McCubbery as cited in Israel and Lasun (2016), maintained that the emergence of new technologies such as modern computers, word processor, the internet, automobile teller machines, reprographic machines, micrographic machines, accounting machines, electronic mail, liquid crystal display projectors and the modem telephonic system, including handset and multimedia among others have not only revolutionized the office environment but have also brought changes in the ways people are doing things.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According to the revised National Policy on Education (2013), business education is an aspect of education designed for the acquisition of practical skills as well as basic scientific knowledge. This definition underlay the explanation why institutions should adequately expose business education students to the nascent technologies to create sufficient technological awareness in them. This also serves as one of the reasons in which the Nigerian government, in attaining technological development, adopted the introduction of technology education in her school system. Little wonder right from the nursery school down to the tertiary institution, these nascent technologies are used. A good example is the setting up of </w:t>
      </w:r>
      <w:r w:rsidRPr="00381D63">
        <w:rPr>
          <w:rFonts w:ascii="Times New Roman" w:hAnsi="Times New Roman" w:cs="Times New Roman"/>
          <w:sz w:val="26"/>
          <w:szCs w:val="26"/>
        </w:rPr>
        <w:lastRenderedPageBreak/>
        <w:t>information communication technology (ICT) centres in all the Federal Universities where both students and lecturers can be trained on these nascent technologies.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Business Education in Nigeria is offered at the junior secondary, senior secondary and post-secondary school levels. At the junior secondary level, it comprises business studies as a pre-vocational subject. At this level, it serves as an introduction to the social science subject and helps students to develop manipulative skills, inventories and respect for the dignity of labour as well as preparing students for further studies and develops in them the understanding and attitudes needed for successful advancement in their educational pursuit (Israel &amp; Lasun (2016)). At the secondary and post-secondary levels, educational subjects include bookkeeping, keyboarding, marketing, accounting, office education, office management, storekeeping, co-operative education and desktop publishing/word processing as enshrined in the revised National Policy on education (2013).</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Business Education is an educational process or content which has the primary aim of preparing people for roles in enterprise, such roles could be as employees, entrepreneurs, employers, or simply as self-employed persons. Elogbo and Akeke (2019), viewed business education  as the aspect of education which equips students with marketable skills, knowledge and attitudes needed for initial employment and advancement in business and related occupations. It also enhances students work orientation and makes the transition from school to the world of work relatively easy. </w:t>
      </w:r>
      <w:r w:rsidRPr="00381D63">
        <w:rPr>
          <w:rFonts w:ascii="Times New Roman" w:hAnsi="Times New Roman" w:cs="Times New Roman"/>
          <w:sz w:val="26"/>
          <w:szCs w:val="26"/>
        </w:rPr>
        <w:lastRenderedPageBreak/>
        <w:t>Preparation of workers for entry into the workplace of the next decade requires an educational programme that provides not only job skills, as vocational and technical education is currently doing under the traditional teaching/method, but also higher-order thinking problem solving, and collaborative work skills.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In the 21</w:t>
      </w:r>
      <w:r w:rsidRPr="00381D63">
        <w:rPr>
          <w:rFonts w:ascii="Times New Roman" w:hAnsi="Times New Roman" w:cs="Times New Roman"/>
          <w:sz w:val="26"/>
          <w:szCs w:val="26"/>
          <w:vertAlign w:val="superscript"/>
        </w:rPr>
        <w:t>st</w:t>
      </w:r>
      <w:r w:rsidRPr="00381D63">
        <w:rPr>
          <w:rFonts w:ascii="Times New Roman" w:hAnsi="Times New Roman" w:cs="Times New Roman"/>
          <w:sz w:val="26"/>
          <w:szCs w:val="26"/>
        </w:rPr>
        <w:t xml:space="preserve"> century, the traditional teaching method appears to be falling short of this. The problem of how to effectively structure the classroom to achieve the laudable goals of Business Education under the traditional method of teaching/learning has become a major concern to both educators and students in the programme in the era of information, communication, and globalization. In the opinion of Akuegwu </w:t>
      </w:r>
      <w:r w:rsidRPr="00381D63">
        <w:rPr>
          <w:rFonts w:ascii="Times New Roman" w:hAnsi="Times New Roman" w:cs="Times New Roman"/>
          <w:i/>
          <w:iCs/>
          <w:sz w:val="26"/>
          <w:szCs w:val="26"/>
        </w:rPr>
        <w:t>et al.</w:t>
      </w:r>
      <w:r w:rsidRPr="00381D63">
        <w:rPr>
          <w:rFonts w:ascii="Times New Roman" w:hAnsi="Times New Roman" w:cs="Times New Roman"/>
          <w:sz w:val="26"/>
          <w:szCs w:val="26"/>
        </w:rPr>
        <w:t xml:space="preserve"> (2024), the pace of change brought about by the nascent technologies has had a significant effect on the way and manner in which humans live, interact with one another and undertake their general activities.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Nascent technologies are challenging the traditional process of teaching and learning and the way education is managed. Globally, there is a paradigm shift from the traditional approach of teacher-centered learning to student-centered learning methods where nascent technologies play a significant role hence business education cannot be exempted. Akuegwu </w:t>
      </w:r>
      <w:r w:rsidRPr="00381D63">
        <w:rPr>
          <w:rFonts w:ascii="Times New Roman" w:hAnsi="Times New Roman" w:cs="Times New Roman"/>
          <w:i/>
          <w:iCs/>
          <w:sz w:val="26"/>
          <w:szCs w:val="26"/>
        </w:rPr>
        <w:t>et al.</w:t>
      </w:r>
      <w:r w:rsidRPr="00381D63">
        <w:rPr>
          <w:rFonts w:ascii="Times New Roman" w:hAnsi="Times New Roman" w:cs="Times New Roman"/>
          <w:sz w:val="26"/>
          <w:szCs w:val="26"/>
        </w:rPr>
        <w:t xml:space="preserve"> (2024), noted that nascent technologies have a great spread of providing flexibility, improvement in quality and quantity of learning instead of total dependence on textbooks and materials in print as teaching and learning in Business Education has done in the past. The advantages of using the nascent </w:t>
      </w:r>
      <w:r w:rsidRPr="00381D63">
        <w:rPr>
          <w:rFonts w:ascii="Times New Roman" w:hAnsi="Times New Roman" w:cs="Times New Roman"/>
          <w:sz w:val="26"/>
          <w:szCs w:val="26"/>
        </w:rPr>
        <w:lastRenderedPageBreak/>
        <w:t>technologies range from the capacity of students to personally learn needed skills and information almost in any field imaginable.</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Through Liquid Crystal Display projector, and modern computers students in Business Education can be able to collaborate, communicate and cooperate with other learners worldwide and access worldwide libraries irrespective of their place of domicile and bring to fulfillment the goal of business education as enshrined in the national policy of education (2013). In the context of teacher's development nascent technologies can be used for both initial and continuing development through courses, workshops, seminars, and other activities, formal and informal where students and practicing teachers learn about integrating nascent technologies across the curriculum to support learning.</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Liquid Crystal Display (LCD Projectors): This is a flat panel display technology commonly used on TVs and computer monitors. It is also used in screens for mobile devices, such as laptops, tablets, and smart phones. LCDs do not just look different from bulky Cathode Ray Tube (CRT) monitors; the way they operate is significantly different as well. Instead of firing electrons at a glass screen, an LCD has a backlight that provides light to the individual pixels.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Many educational institutes are transitioning to more modern technologies such as LCD projectors. The days of blackboards are over and digital projectors are paving the way seamlessly for teachers to concentrate on teaching and for the learners to </w:t>
      </w:r>
      <w:r w:rsidRPr="00381D63">
        <w:rPr>
          <w:rFonts w:ascii="Times New Roman" w:hAnsi="Times New Roman" w:cs="Times New Roman"/>
          <w:sz w:val="26"/>
          <w:szCs w:val="26"/>
        </w:rPr>
        <w:lastRenderedPageBreak/>
        <w:t>effortlessly learn without the need to erase or have messy white chalk marks.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It is easier to present large class notes and materials to students in a classroom through LCD projectors as a study of teachers who use projectors says that the projector presents new ways to reach students. Instead of a teacher just talking at the front of the classroom or writing words on the board, the projector allows the presentation of text, audio, graphics or videos. This is more entertaining for the students and improves the likelihood they will comprehend the lessons.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Modern Computers is an electronic device that can store, retrieve and process data. Modern computers can perform tasks such as word processing, web browsing, and database management. Modern computers are made of hardware and software components such as a keyboard or a mouse, whereas software is any set of instructions that tells the hardware how to accomplish each task. The nascent technologies in modern computers come in the form of desktop computers and laptop computers and are not limited to tablets and phones. It  can also  be used for online education and research. With the help of the internet, students can find useful information about their project work, assignments and also can take useful help from other researchers as they store and organize their research materials on computers.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With the advantages emanating from technological development, it has become imperative that efforts have to be made to ensure the acquisition of necessary nascent technologies especially by business education teachers </w:t>
      </w:r>
      <w:r w:rsidRPr="00381D63">
        <w:rPr>
          <w:rFonts w:ascii="Times New Roman" w:hAnsi="Times New Roman" w:cs="Times New Roman"/>
          <w:sz w:val="26"/>
          <w:szCs w:val="26"/>
        </w:rPr>
        <w:lastRenderedPageBreak/>
        <w:t xml:space="preserve">for effective instruction especially in the training of business education students (Igbongidi (2022). This is in line with Agim </w:t>
      </w:r>
      <w:r w:rsidRPr="00381D63">
        <w:rPr>
          <w:rFonts w:ascii="Times New Roman" w:hAnsi="Times New Roman" w:cs="Times New Roman"/>
          <w:i/>
          <w:iCs/>
          <w:sz w:val="26"/>
          <w:szCs w:val="26"/>
        </w:rPr>
        <w:t>et al.</w:t>
      </w:r>
      <w:r w:rsidRPr="00381D63">
        <w:rPr>
          <w:rFonts w:ascii="Times New Roman" w:hAnsi="Times New Roman" w:cs="Times New Roman"/>
          <w:sz w:val="26"/>
          <w:szCs w:val="26"/>
        </w:rPr>
        <w:t xml:space="preserve"> (2020) who strongly shared these views when he stated that if we would ever make some technological impact, then business education programs in our institutions must give room for these nascent technologies to be exposed to those who go through them. Any Business Education student without adequate knowledge of these nascent technologies can neither fit into a modern business office nor learn effectively. This is why this study is embarked upon to stress the need of nascent technology to Business Education students’ training. </w:t>
      </w:r>
    </w:p>
    <w:p w:rsidR="00503B78" w:rsidRDefault="00503B78" w:rsidP="00503B78">
      <w:pPr>
        <w:spacing w:after="0" w:line="240" w:lineRule="auto"/>
        <w:jc w:val="both"/>
        <w:rPr>
          <w:rFonts w:ascii="Times New Roman" w:hAnsi="Times New Roman" w:cs="Times New Roman"/>
          <w:b/>
          <w:sz w:val="26"/>
          <w:szCs w:val="26"/>
        </w:r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t>Statement of the problem</w:t>
      </w:r>
    </w:p>
    <w:p w:rsidR="00503B78" w:rsidRDefault="00503B78" w:rsidP="00503B78">
      <w:pPr>
        <w:spacing w:line="240" w:lineRule="auto"/>
        <w:ind w:firstLine="720"/>
        <w:jc w:val="both"/>
        <w:rPr>
          <w:rFonts w:ascii="Times New Roman" w:hAnsi="Times New Roman" w:cs="Times New Roman"/>
          <w:sz w:val="26"/>
          <w:szCs w:val="26"/>
        </w:rPr>
        <w:sectPr w:rsidR="00503B78" w:rsidSect="00503B78">
          <w:type w:val="continuous"/>
          <w:pgSz w:w="12240" w:h="15840" w:code="1"/>
          <w:pgMar w:top="1440" w:right="1440" w:bottom="1440" w:left="1440" w:header="706" w:footer="706" w:gutter="0"/>
          <w:cols w:num="2" w:space="708"/>
          <w:docGrid w:linePitch="360"/>
        </w:sectPr>
      </w:pPr>
      <w:r w:rsidRPr="00381D63">
        <w:rPr>
          <w:rFonts w:ascii="Times New Roman" w:hAnsi="Times New Roman" w:cs="Times New Roman"/>
          <w:sz w:val="26"/>
          <w:szCs w:val="26"/>
        </w:rPr>
        <w:t>As new technologies and globalization cha</w:t>
      </w:r>
      <w:r>
        <w:rPr>
          <w:rFonts w:ascii="Times New Roman" w:hAnsi="Times New Roman" w:cs="Times New Roman"/>
          <w:sz w:val="26"/>
          <w:szCs w:val="26"/>
        </w:rPr>
        <w:t xml:space="preserve">nge the geography of business, </w:t>
      </w:r>
      <w:r w:rsidRPr="00381D63">
        <w:rPr>
          <w:rFonts w:ascii="Times New Roman" w:hAnsi="Times New Roman" w:cs="Times New Roman"/>
          <w:sz w:val="26"/>
          <w:szCs w:val="26"/>
        </w:rPr>
        <w:t xml:space="preserve">the training of Business Education students ought to adapt to </w:t>
      </w:r>
      <w:r w:rsidRPr="00381D63">
        <w:rPr>
          <w:rFonts w:ascii="Times New Roman" w:hAnsi="Times New Roman" w:cs="Times New Roman"/>
          <w:sz w:val="26"/>
          <w:szCs w:val="26"/>
        </w:rPr>
        <w:lastRenderedPageBreak/>
        <w:t>meet these challenges. The global business is rapidly transformed by nascent technologies such as cloud computing, data analytics, artificial intelligence among others. However, there is a growing concern that the training provided to Business Education students is not adequately aligned with these technological advancements. Many students graduate with little or no practical experience or exposure to emerging tools that are increasingly essential in today’s business world and sometimes, find it difficult to secure jobs in appropriate fields. The environment of training Business Education students in institution of higher learning, no doubt, constitute serious influence to the practice and sustainable development of the profession since no organization working with these new machines would want to offer employment to graduates without the operational knowledge of these machines</w:t>
      </w:r>
    </w:p>
    <w:p w:rsidR="00503B78" w:rsidRDefault="00503B78" w:rsidP="00503B78">
      <w:pPr>
        <w:spacing w:after="0" w:line="240" w:lineRule="auto"/>
        <w:jc w:val="both"/>
        <w:rPr>
          <w:rFonts w:ascii="Times New Roman" w:hAnsi="Times New Roman" w:cs="Times New Roman"/>
          <w:b/>
          <w:sz w:val="26"/>
          <w:szCs w:val="26"/>
        </w:r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t>Objectives of the study</w:t>
      </w:r>
    </w:p>
    <w:p w:rsidR="00503B78" w:rsidRPr="00381D63" w:rsidRDefault="00503B78" w:rsidP="00503B78">
      <w:pPr>
        <w:numPr>
          <w:ilvl w:val="0"/>
          <w:numId w:val="15"/>
        </w:num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Determine the influence of modern computers and the training of Business Education students in University of Calabar.</w:t>
      </w:r>
    </w:p>
    <w:p w:rsidR="00503B78" w:rsidRPr="00381D63" w:rsidRDefault="00503B78" w:rsidP="00503B78">
      <w:pPr>
        <w:numPr>
          <w:ilvl w:val="0"/>
          <w:numId w:val="15"/>
        </w:num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Determine the influence of liquid crystal display projectors on the training of Business Education students in the university of Calabar.</w:t>
      </w:r>
    </w:p>
    <w:p w:rsidR="00503B78" w:rsidRDefault="00503B78" w:rsidP="00503B78">
      <w:pPr>
        <w:spacing w:after="0" w:line="240" w:lineRule="auto"/>
        <w:jc w:val="both"/>
        <w:rPr>
          <w:rFonts w:ascii="Times New Roman" w:hAnsi="Times New Roman" w:cs="Times New Roman"/>
          <w:b/>
          <w:sz w:val="26"/>
          <w:szCs w:val="26"/>
        </w:r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t>Research Questions</w:t>
      </w:r>
    </w:p>
    <w:p w:rsidR="00503B78" w:rsidRPr="00381D63" w:rsidRDefault="00503B78" w:rsidP="00503B78">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The following research questions were posted to guide the study:</w:t>
      </w:r>
    </w:p>
    <w:p w:rsidR="00503B78" w:rsidRPr="00381D63" w:rsidRDefault="00503B78" w:rsidP="00503B78">
      <w:pPr>
        <w:numPr>
          <w:ilvl w:val="0"/>
          <w:numId w:val="16"/>
        </w:num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To what extent does modern computer influence the training of Business Education students?</w:t>
      </w:r>
    </w:p>
    <w:p w:rsidR="00503B78" w:rsidRPr="00381D63" w:rsidRDefault="00503B78" w:rsidP="00503B78">
      <w:pPr>
        <w:numPr>
          <w:ilvl w:val="0"/>
          <w:numId w:val="16"/>
        </w:num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To what extent does liquid crystal display projectors influence the training of Business Education students?</w:t>
      </w:r>
    </w:p>
    <w:p w:rsidR="00503B78" w:rsidRDefault="00503B78" w:rsidP="00503B78">
      <w:pPr>
        <w:spacing w:after="0" w:line="240" w:lineRule="auto"/>
        <w:jc w:val="both"/>
        <w:rPr>
          <w:rFonts w:ascii="Times New Roman" w:hAnsi="Times New Roman" w:cs="Times New Roman"/>
          <w:b/>
          <w:sz w:val="26"/>
          <w:szCs w:val="26"/>
        </w:r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t>Research Hypotheses</w:t>
      </w:r>
    </w:p>
    <w:p w:rsidR="00503B78" w:rsidRPr="00381D63" w:rsidRDefault="00503B78" w:rsidP="00503B78">
      <w:pPr>
        <w:spacing w:after="0" w:line="240" w:lineRule="auto"/>
        <w:jc w:val="both"/>
        <w:rPr>
          <w:rFonts w:ascii="Times New Roman" w:hAnsi="Times New Roman" w:cs="Times New Roman"/>
          <w:bCs/>
          <w:sz w:val="26"/>
          <w:szCs w:val="26"/>
        </w:rPr>
      </w:pPr>
      <w:r w:rsidRPr="00381D63">
        <w:rPr>
          <w:rFonts w:ascii="Times New Roman" w:hAnsi="Times New Roman" w:cs="Times New Roman"/>
          <w:bCs/>
          <w:sz w:val="26"/>
          <w:szCs w:val="26"/>
        </w:rPr>
        <w:t>The following hypotheses were formulated for the study</w:t>
      </w:r>
    </w:p>
    <w:p w:rsidR="00503B78" w:rsidRPr="00381D63" w:rsidRDefault="00503B78" w:rsidP="00503B78">
      <w:pPr>
        <w:pStyle w:val="ListParagraph"/>
        <w:numPr>
          <w:ilvl w:val="0"/>
          <w:numId w:val="17"/>
        </w:numPr>
        <w:spacing w:before="0" w:beforeAutospacing="0" w:after="0" w:line="240" w:lineRule="auto"/>
        <w:jc w:val="both"/>
        <w:rPr>
          <w:rFonts w:ascii="Times New Roman" w:hAnsi="Times New Roman"/>
          <w:sz w:val="26"/>
          <w:szCs w:val="26"/>
        </w:rPr>
      </w:pPr>
      <w:r w:rsidRPr="00381D63">
        <w:rPr>
          <w:rFonts w:ascii="Times New Roman" w:hAnsi="Times New Roman"/>
          <w:sz w:val="26"/>
          <w:szCs w:val="26"/>
        </w:rPr>
        <w:t>There is no significant difference between the mean responses of male and female business education students on the influence  of Modern Computers on the training of Business Education students.</w:t>
      </w:r>
    </w:p>
    <w:p w:rsidR="00503B78" w:rsidRPr="00381D63" w:rsidRDefault="00503B78" w:rsidP="00503B78">
      <w:pPr>
        <w:pStyle w:val="ListParagraph"/>
        <w:numPr>
          <w:ilvl w:val="0"/>
          <w:numId w:val="17"/>
        </w:numPr>
        <w:spacing w:before="0" w:beforeAutospacing="0" w:after="0" w:line="240" w:lineRule="auto"/>
        <w:jc w:val="both"/>
        <w:rPr>
          <w:rFonts w:ascii="Times New Roman" w:hAnsi="Times New Roman"/>
          <w:sz w:val="26"/>
          <w:szCs w:val="26"/>
        </w:rPr>
      </w:pPr>
      <w:r w:rsidRPr="00381D63">
        <w:rPr>
          <w:rFonts w:ascii="Times New Roman" w:hAnsi="Times New Roman"/>
          <w:sz w:val="26"/>
          <w:szCs w:val="26"/>
        </w:rPr>
        <w:lastRenderedPageBreak/>
        <w:t>There is no significant difference between the mean responses of male and female business education students on the influence of liquid crystal display projectors on the training of Business Education students.</w:t>
      </w:r>
    </w:p>
    <w:p w:rsidR="00503B78" w:rsidRDefault="00503B78" w:rsidP="00503B78">
      <w:pPr>
        <w:spacing w:after="0" w:line="240" w:lineRule="auto"/>
        <w:jc w:val="both"/>
        <w:rPr>
          <w:rFonts w:ascii="Times New Roman" w:hAnsi="Times New Roman" w:cs="Times New Roman"/>
          <w:b/>
          <w:bCs/>
          <w:sz w:val="26"/>
          <w:szCs w:val="26"/>
        </w:rPr>
      </w:pPr>
    </w:p>
    <w:p w:rsidR="00503B78" w:rsidRPr="00381D63" w:rsidRDefault="00503B78" w:rsidP="00503B78">
      <w:pPr>
        <w:spacing w:after="0" w:line="240" w:lineRule="auto"/>
        <w:jc w:val="both"/>
        <w:rPr>
          <w:rFonts w:ascii="Times New Roman" w:hAnsi="Times New Roman" w:cs="Times New Roman"/>
          <w:b/>
          <w:bCs/>
          <w:sz w:val="26"/>
          <w:szCs w:val="26"/>
        </w:rPr>
      </w:pPr>
      <w:r w:rsidRPr="00381D63">
        <w:rPr>
          <w:rFonts w:ascii="Times New Roman" w:hAnsi="Times New Roman" w:cs="Times New Roman"/>
          <w:b/>
          <w:bCs/>
          <w:sz w:val="26"/>
          <w:szCs w:val="26"/>
        </w:rPr>
        <w:t>Research methods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The research design used in this study is survey research design. The design was used because the study involved quantitative research. According to Valmi, Martha and Isabel (2017), a survey research design is research which has the purpose to find out the opinion of people regarding a particular subject.</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This research is carried out in Cross River state. The population of the study is made up of all Business Education students in the Department of Business Education in University of Calabar. At the time of this study, the population comprised of 494 students in the Business Education Unit. Out of the 494 students, 314 are female while 180 are male students. This figure was obtained from the four study levels under the Business Education Unit. See the distribution in Table 1 below.</w:t>
      </w:r>
    </w:p>
    <w:p w:rsidR="00503B78" w:rsidRPr="00381D63" w:rsidRDefault="00503B78" w:rsidP="00503B78">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xml:space="preserve">The sampling technique adopted for this </w:t>
      </w:r>
      <w:r w:rsidRPr="00381D63">
        <w:rPr>
          <w:rFonts w:ascii="Times New Roman" w:hAnsi="Times New Roman" w:cs="Times New Roman"/>
          <w:bCs/>
          <w:sz w:val="26"/>
          <w:szCs w:val="26"/>
        </w:rPr>
        <w:t>allows for stratification and the population in the sample making it fit as a representative of the study population.</w:t>
      </w:r>
      <w:r w:rsidRPr="00381D63">
        <w:rPr>
          <w:rFonts w:ascii="Times New Roman" w:hAnsi="Times New Roman" w:cs="Times New Roman"/>
          <w:sz w:val="26"/>
          <w:szCs w:val="26"/>
        </w:rPr>
        <w:t xml:space="preserve"> This technique was used because it provides an opportunity for all elements of the population to have equal chance of being included in the study.</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The sample size for this study was one hundred and forty-nine (149) business education students comprising 54 male and 95 female students. This is 30% of the population drawn from each level and Table 2 shows the breakdown of the business education samples.</w:t>
      </w:r>
    </w:p>
    <w:p w:rsidR="00503B78" w:rsidRDefault="00503B78" w:rsidP="00503B78">
      <w:pPr>
        <w:spacing w:after="0" w:line="240" w:lineRule="auto"/>
        <w:jc w:val="both"/>
        <w:rPr>
          <w:rFonts w:ascii="Times New Roman" w:hAnsi="Times New Roman" w:cs="Times New Roman"/>
          <w:bCs/>
          <w:sz w:val="26"/>
          <w:szCs w:val="26"/>
        </w:rPr>
      </w:pPr>
    </w:p>
    <w:p w:rsidR="00503B78" w:rsidRPr="00381D63" w:rsidRDefault="00503B78" w:rsidP="00503B78">
      <w:pPr>
        <w:spacing w:after="0" w:line="240" w:lineRule="auto"/>
        <w:jc w:val="both"/>
        <w:rPr>
          <w:rFonts w:ascii="Times New Roman" w:hAnsi="Times New Roman" w:cs="Times New Roman"/>
          <w:bCs/>
          <w:sz w:val="26"/>
          <w:szCs w:val="26"/>
        </w:rPr>
      </w:pPr>
      <w:r w:rsidRPr="00381D63">
        <w:rPr>
          <w:rFonts w:ascii="Times New Roman" w:hAnsi="Times New Roman" w:cs="Times New Roman"/>
          <w:bCs/>
          <w:sz w:val="26"/>
          <w:szCs w:val="26"/>
        </w:rPr>
        <w:t>Table 1: Distribution of population</w:t>
      </w:r>
    </w:p>
    <w:tbl>
      <w:tblPr>
        <w:tblStyle w:val="LightShading"/>
        <w:tblW w:w="0" w:type="auto"/>
        <w:tblLook w:val="04A0"/>
      </w:tblPr>
      <w:tblGrid>
        <w:gridCol w:w="1086"/>
        <w:gridCol w:w="4250"/>
        <w:gridCol w:w="1139"/>
        <w:gridCol w:w="1170"/>
        <w:gridCol w:w="1212"/>
      </w:tblGrid>
      <w:tr w:rsidR="00503B78" w:rsidRPr="00381D63" w:rsidTr="004A2C18">
        <w:trPr>
          <w:cnfStyle w:val="100000000000"/>
          <w:trHeight w:val="393"/>
        </w:trPr>
        <w:tc>
          <w:tcPr>
            <w:cnfStyle w:val="001000000000"/>
            <w:tcW w:w="1086" w:type="dxa"/>
            <w:vMerge w:val="restart"/>
            <w:tcBorders>
              <w:bottom w:val="single" w:sz="4" w:space="0" w:color="auto"/>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S/N</w:t>
            </w:r>
          </w:p>
        </w:tc>
        <w:tc>
          <w:tcPr>
            <w:tcW w:w="4250" w:type="dxa"/>
            <w:vMerge w:val="restart"/>
            <w:tcBorders>
              <w:bottom w:val="single" w:sz="4" w:space="0" w:color="auto"/>
            </w:tcBorders>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Year of study</w:t>
            </w:r>
          </w:p>
        </w:tc>
        <w:tc>
          <w:tcPr>
            <w:tcW w:w="3521" w:type="dxa"/>
            <w:gridSpan w:val="3"/>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No. of students</w:t>
            </w:r>
          </w:p>
        </w:tc>
      </w:tr>
      <w:tr w:rsidR="00503B78" w:rsidRPr="00381D63" w:rsidTr="004A2C18">
        <w:trPr>
          <w:trHeight w:val="420"/>
        </w:trPr>
        <w:tc>
          <w:tcPr>
            <w:cnfStyle w:val="001000000000"/>
            <w:tcW w:w="0" w:type="auto"/>
            <w:vMerge/>
            <w:tcBorders>
              <w:top w:val="single" w:sz="8" w:space="0" w:color="000000" w:themeColor="text1"/>
              <w:left w:val="nil"/>
              <w:bottom w:val="single" w:sz="4" w:space="0" w:color="auto"/>
              <w:right w:val="nil"/>
            </w:tcBorders>
            <w:shd w:val="clear" w:color="auto" w:fill="C0C0C0" w:themeFill="text1" w:themeFillTint="3F"/>
            <w:vAlign w:val="center"/>
          </w:tcPr>
          <w:p w:rsidR="00503B78" w:rsidRPr="00381D63" w:rsidRDefault="00503B78" w:rsidP="004A2C18">
            <w:pPr>
              <w:jc w:val="both"/>
              <w:rPr>
                <w:rFonts w:ascii="Times New Roman" w:hAnsi="Times New Roman" w:cs="Times New Roman"/>
                <w:b w:val="0"/>
                <w:bCs w:val="0"/>
                <w:sz w:val="26"/>
                <w:szCs w:val="26"/>
              </w:rPr>
            </w:pPr>
          </w:p>
        </w:tc>
        <w:tc>
          <w:tcPr>
            <w:tcW w:w="0" w:type="auto"/>
            <w:vMerge/>
            <w:tcBorders>
              <w:top w:val="single" w:sz="8" w:space="0" w:color="000000" w:themeColor="text1"/>
              <w:bottom w:val="single" w:sz="4" w:space="0" w:color="auto"/>
              <w:right w:val="nil"/>
            </w:tcBorders>
            <w:shd w:val="clear" w:color="auto" w:fill="C0C0C0" w:themeFill="text1" w:themeFillTint="3F"/>
            <w:vAlign w:val="center"/>
          </w:tcPr>
          <w:p w:rsidR="00503B78" w:rsidRPr="00381D63" w:rsidRDefault="00503B78" w:rsidP="004A2C18">
            <w:pPr>
              <w:jc w:val="both"/>
              <w:cnfStyle w:val="000000000000"/>
              <w:rPr>
                <w:rFonts w:ascii="Times New Roman" w:hAnsi="Times New Roman" w:cs="Times New Roman"/>
                <w:bCs/>
                <w:sz w:val="26"/>
                <w:szCs w:val="26"/>
              </w:rPr>
            </w:pPr>
          </w:p>
        </w:tc>
        <w:tc>
          <w:tcPr>
            <w:tcW w:w="1139"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Male </w:t>
            </w:r>
          </w:p>
        </w:tc>
        <w:tc>
          <w:tcPr>
            <w:tcW w:w="1170"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Female </w:t>
            </w:r>
          </w:p>
        </w:tc>
        <w:tc>
          <w:tcPr>
            <w:tcW w:w="1212"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Total </w:t>
            </w:r>
          </w:p>
        </w:tc>
      </w:tr>
      <w:tr w:rsidR="00503B78" w:rsidRPr="00381D63" w:rsidTr="004A2C18">
        <w:trPr>
          <w:trHeight w:val="350"/>
        </w:trPr>
        <w:tc>
          <w:tcPr>
            <w:cnfStyle w:val="001000000000"/>
            <w:tcW w:w="1086" w:type="dxa"/>
            <w:tcBorders>
              <w:top w:val="single" w:sz="4" w:space="0" w:color="auto"/>
              <w:left w:val="nil"/>
              <w:bottom w:val="nil"/>
              <w:right w:val="nil"/>
            </w:tcBorders>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100 Level</w:t>
            </w:r>
          </w:p>
        </w:tc>
        <w:tc>
          <w:tcPr>
            <w:tcW w:w="1139"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48</w:t>
            </w:r>
          </w:p>
        </w:tc>
        <w:tc>
          <w:tcPr>
            <w:tcW w:w="1170"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92</w:t>
            </w:r>
          </w:p>
        </w:tc>
        <w:tc>
          <w:tcPr>
            <w:tcW w:w="1212"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140</w:t>
            </w:r>
          </w:p>
        </w:tc>
      </w:tr>
      <w:tr w:rsidR="00503B78" w:rsidRPr="00381D63" w:rsidTr="004A2C18">
        <w:trPr>
          <w:trHeight w:val="332"/>
        </w:trPr>
        <w:tc>
          <w:tcPr>
            <w:cnfStyle w:val="001000000000"/>
            <w:tcW w:w="1086" w:type="dxa"/>
            <w:tcBorders>
              <w:top w:val="nil"/>
              <w:left w:val="nil"/>
              <w:bottom w:val="nil"/>
              <w:right w:val="nil"/>
            </w:tcBorders>
            <w:shd w:val="clear" w:color="auto" w:fill="C0C0C0" w:themeFill="text1" w:themeFillTint="3F"/>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200 level</w:t>
            </w:r>
          </w:p>
        </w:tc>
        <w:tc>
          <w:tcPr>
            <w:tcW w:w="113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39</w:t>
            </w:r>
          </w:p>
        </w:tc>
        <w:tc>
          <w:tcPr>
            <w:tcW w:w="117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80</w:t>
            </w:r>
          </w:p>
        </w:tc>
        <w:tc>
          <w:tcPr>
            <w:tcW w:w="1212"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119</w:t>
            </w:r>
          </w:p>
        </w:tc>
      </w:tr>
      <w:tr w:rsidR="00503B78" w:rsidRPr="00381D63" w:rsidTr="004A2C18">
        <w:trPr>
          <w:trHeight w:val="70"/>
        </w:trPr>
        <w:tc>
          <w:tcPr>
            <w:cnfStyle w:val="001000000000"/>
            <w:tcW w:w="1086" w:type="dxa"/>
            <w:tcBorders>
              <w:top w:val="nil"/>
              <w:left w:val="nil"/>
              <w:bottom w:val="nil"/>
              <w:right w:val="nil"/>
            </w:tcBorders>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300 level</w:t>
            </w:r>
          </w:p>
        </w:tc>
        <w:tc>
          <w:tcPr>
            <w:tcW w:w="113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59</w:t>
            </w:r>
          </w:p>
        </w:tc>
        <w:tc>
          <w:tcPr>
            <w:tcW w:w="1170"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82</w:t>
            </w:r>
          </w:p>
        </w:tc>
        <w:tc>
          <w:tcPr>
            <w:tcW w:w="1212"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141</w:t>
            </w:r>
          </w:p>
        </w:tc>
      </w:tr>
      <w:tr w:rsidR="00503B78" w:rsidRPr="00381D63" w:rsidTr="004A2C18">
        <w:trPr>
          <w:trHeight w:val="70"/>
        </w:trPr>
        <w:tc>
          <w:tcPr>
            <w:cnfStyle w:val="001000000000"/>
            <w:tcW w:w="1086" w:type="dxa"/>
            <w:tcBorders>
              <w:top w:val="nil"/>
              <w:left w:val="nil"/>
              <w:bottom w:val="nil"/>
              <w:right w:val="nil"/>
            </w:tcBorders>
            <w:shd w:val="clear" w:color="auto" w:fill="C0C0C0" w:themeFill="text1" w:themeFillTint="3F"/>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400 level</w:t>
            </w:r>
          </w:p>
        </w:tc>
        <w:tc>
          <w:tcPr>
            <w:tcW w:w="113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34</w:t>
            </w:r>
          </w:p>
        </w:tc>
        <w:tc>
          <w:tcPr>
            <w:tcW w:w="117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60</w:t>
            </w:r>
          </w:p>
        </w:tc>
        <w:tc>
          <w:tcPr>
            <w:tcW w:w="1212"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94</w:t>
            </w:r>
          </w:p>
        </w:tc>
      </w:tr>
      <w:tr w:rsidR="00503B78" w:rsidRPr="00381D63" w:rsidTr="004A2C18">
        <w:trPr>
          <w:trHeight w:val="70"/>
        </w:trPr>
        <w:tc>
          <w:tcPr>
            <w:cnfStyle w:val="001000000000"/>
            <w:tcW w:w="1086" w:type="dxa"/>
            <w:tcBorders>
              <w:top w:val="nil"/>
              <w:left w:val="nil"/>
              <w:bottom w:val="single" w:sz="8" w:space="0" w:color="000000" w:themeColor="text1"/>
              <w:right w:val="nil"/>
            </w:tcBorders>
          </w:tcPr>
          <w:p w:rsidR="00503B78" w:rsidRPr="00381D63" w:rsidRDefault="00503B78" w:rsidP="004A2C18">
            <w:pPr>
              <w:jc w:val="both"/>
              <w:rPr>
                <w:rFonts w:ascii="Times New Roman" w:hAnsi="Times New Roman" w:cs="Times New Roman"/>
                <w:b w:val="0"/>
                <w:bCs w:val="0"/>
                <w:sz w:val="26"/>
                <w:szCs w:val="26"/>
              </w:rPr>
            </w:pPr>
          </w:p>
        </w:tc>
        <w:tc>
          <w:tcPr>
            <w:tcW w:w="4250"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TOTAL</w:t>
            </w:r>
          </w:p>
        </w:tc>
        <w:tc>
          <w:tcPr>
            <w:tcW w:w="1139"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180</w:t>
            </w:r>
          </w:p>
        </w:tc>
        <w:tc>
          <w:tcPr>
            <w:tcW w:w="1170"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314</w:t>
            </w:r>
          </w:p>
        </w:tc>
        <w:tc>
          <w:tcPr>
            <w:tcW w:w="1212"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494</w:t>
            </w:r>
          </w:p>
        </w:tc>
      </w:tr>
    </w:tbl>
    <w:p w:rsidR="00503B78" w:rsidRPr="00381D63" w:rsidRDefault="00503B78" w:rsidP="00503B78">
      <w:pPr>
        <w:spacing w:line="240" w:lineRule="auto"/>
        <w:jc w:val="both"/>
        <w:rPr>
          <w:rFonts w:ascii="Times New Roman" w:hAnsi="Times New Roman" w:cs="Times New Roman"/>
          <w:bCs/>
          <w:sz w:val="26"/>
          <w:szCs w:val="26"/>
        </w:rPr>
      </w:pPr>
      <w:r w:rsidRPr="00381D63">
        <w:rPr>
          <w:rFonts w:ascii="Times New Roman" w:hAnsi="Times New Roman" w:cs="Times New Roman"/>
          <w:bCs/>
          <w:sz w:val="26"/>
          <w:szCs w:val="26"/>
        </w:rPr>
        <w:t>Table 2: Sampling Frame</w:t>
      </w:r>
    </w:p>
    <w:tbl>
      <w:tblPr>
        <w:tblStyle w:val="LightShading"/>
        <w:tblW w:w="0" w:type="auto"/>
        <w:tblLook w:val="04A0"/>
      </w:tblPr>
      <w:tblGrid>
        <w:gridCol w:w="1086"/>
        <w:gridCol w:w="4250"/>
        <w:gridCol w:w="1139"/>
        <w:gridCol w:w="1170"/>
        <w:gridCol w:w="1212"/>
      </w:tblGrid>
      <w:tr w:rsidR="00503B78" w:rsidRPr="00381D63" w:rsidTr="004A2C18">
        <w:trPr>
          <w:cnfStyle w:val="100000000000"/>
          <w:trHeight w:val="393"/>
        </w:trPr>
        <w:tc>
          <w:tcPr>
            <w:cnfStyle w:val="001000000000"/>
            <w:tcW w:w="1086" w:type="dxa"/>
            <w:vMerge w:val="restart"/>
            <w:tcBorders>
              <w:bottom w:val="single" w:sz="4" w:space="0" w:color="auto"/>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S/N</w:t>
            </w:r>
          </w:p>
        </w:tc>
        <w:tc>
          <w:tcPr>
            <w:tcW w:w="4250" w:type="dxa"/>
            <w:vMerge w:val="restart"/>
            <w:tcBorders>
              <w:bottom w:val="single" w:sz="4" w:space="0" w:color="auto"/>
            </w:tcBorders>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Year of study</w:t>
            </w:r>
          </w:p>
        </w:tc>
        <w:tc>
          <w:tcPr>
            <w:tcW w:w="3521" w:type="dxa"/>
            <w:gridSpan w:val="3"/>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No. of students</w:t>
            </w:r>
          </w:p>
        </w:tc>
      </w:tr>
      <w:tr w:rsidR="00503B78" w:rsidRPr="00381D63" w:rsidTr="004A2C18">
        <w:trPr>
          <w:trHeight w:val="420"/>
        </w:trPr>
        <w:tc>
          <w:tcPr>
            <w:cnfStyle w:val="001000000000"/>
            <w:tcW w:w="0" w:type="auto"/>
            <w:vMerge/>
            <w:tcBorders>
              <w:top w:val="single" w:sz="8" w:space="0" w:color="000000" w:themeColor="text1"/>
              <w:left w:val="nil"/>
              <w:bottom w:val="single" w:sz="4" w:space="0" w:color="auto"/>
              <w:right w:val="nil"/>
            </w:tcBorders>
            <w:shd w:val="clear" w:color="auto" w:fill="C0C0C0" w:themeFill="text1" w:themeFillTint="3F"/>
            <w:vAlign w:val="center"/>
          </w:tcPr>
          <w:p w:rsidR="00503B78" w:rsidRPr="00381D63" w:rsidRDefault="00503B78" w:rsidP="004A2C18">
            <w:pPr>
              <w:jc w:val="both"/>
              <w:rPr>
                <w:rFonts w:ascii="Times New Roman" w:hAnsi="Times New Roman" w:cs="Times New Roman"/>
                <w:b w:val="0"/>
                <w:bCs w:val="0"/>
                <w:sz w:val="26"/>
                <w:szCs w:val="26"/>
              </w:rPr>
            </w:pPr>
          </w:p>
        </w:tc>
        <w:tc>
          <w:tcPr>
            <w:tcW w:w="0" w:type="auto"/>
            <w:vMerge/>
            <w:tcBorders>
              <w:top w:val="single" w:sz="8" w:space="0" w:color="000000" w:themeColor="text1"/>
              <w:bottom w:val="single" w:sz="4" w:space="0" w:color="auto"/>
              <w:right w:val="nil"/>
            </w:tcBorders>
            <w:shd w:val="clear" w:color="auto" w:fill="C0C0C0" w:themeFill="text1" w:themeFillTint="3F"/>
            <w:vAlign w:val="center"/>
          </w:tcPr>
          <w:p w:rsidR="00503B78" w:rsidRPr="00381D63" w:rsidRDefault="00503B78" w:rsidP="004A2C18">
            <w:pPr>
              <w:jc w:val="both"/>
              <w:cnfStyle w:val="000000000000"/>
              <w:rPr>
                <w:rFonts w:ascii="Times New Roman" w:hAnsi="Times New Roman" w:cs="Times New Roman"/>
                <w:bCs/>
                <w:sz w:val="26"/>
                <w:szCs w:val="26"/>
              </w:rPr>
            </w:pPr>
          </w:p>
        </w:tc>
        <w:tc>
          <w:tcPr>
            <w:tcW w:w="1139"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Male (30%)</w:t>
            </w:r>
          </w:p>
        </w:tc>
        <w:tc>
          <w:tcPr>
            <w:tcW w:w="1170"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Female (30%)</w:t>
            </w:r>
          </w:p>
        </w:tc>
        <w:tc>
          <w:tcPr>
            <w:tcW w:w="1212" w:type="dxa"/>
            <w:tcBorders>
              <w:top w:val="nil"/>
              <w:bottom w:val="single" w:sz="4" w:space="0" w:color="auto"/>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Total </w:t>
            </w:r>
          </w:p>
        </w:tc>
      </w:tr>
      <w:tr w:rsidR="00503B78" w:rsidRPr="00381D63" w:rsidTr="004A2C18">
        <w:trPr>
          <w:trHeight w:val="350"/>
        </w:trPr>
        <w:tc>
          <w:tcPr>
            <w:cnfStyle w:val="001000000000"/>
            <w:tcW w:w="1086" w:type="dxa"/>
            <w:tcBorders>
              <w:top w:val="single" w:sz="4" w:space="0" w:color="auto"/>
              <w:left w:val="nil"/>
              <w:bottom w:val="nil"/>
              <w:right w:val="nil"/>
            </w:tcBorders>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100 Level</w:t>
            </w:r>
          </w:p>
        </w:tc>
        <w:tc>
          <w:tcPr>
            <w:tcW w:w="1139"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14</w:t>
            </w:r>
          </w:p>
        </w:tc>
        <w:tc>
          <w:tcPr>
            <w:tcW w:w="1170"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28</w:t>
            </w:r>
          </w:p>
        </w:tc>
        <w:tc>
          <w:tcPr>
            <w:tcW w:w="1212" w:type="dxa"/>
            <w:tcBorders>
              <w:top w:val="single" w:sz="4" w:space="0" w:color="auto"/>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42</w:t>
            </w:r>
          </w:p>
        </w:tc>
      </w:tr>
      <w:tr w:rsidR="00503B78" w:rsidRPr="00381D63" w:rsidTr="004A2C18">
        <w:trPr>
          <w:trHeight w:val="332"/>
        </w:trPr>
        <w:tc>
          <w:tcPr>
            <w:cnfStyle w:val="001000000000"/>
            <w:tcW w:w="1086" w:type="dxa"/>
            <w:tcBorders>
              <w:top w:val="nil"/>
              <w:left w:val="nil"/>
              <w:bottom w:val="nil"/>
              <w:right w:val="nil"/>
            </w:tcBorders>
            <w:shd w:val="clear" w:color="auto" w:fill="C0C0C0" w:themeFill="text1" w:themeFillTint="3F"/>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200 level</w:t>
            </w:r>
          </w:p>
        </w:tc>
        <w:tc>
          <w:tcPr>
            <w:tcW w:w="113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12</w:t>
            </w:r>
          </w:p>
        </w:tc>
        <w:tc>
          <w:tcPr>
            <w:tcW w:w="117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w:t>
            </w:r>
          </w:p>
        </w:tc>
        <w:tc>
          <w:tcPr>
            <w:tcW w:w="1212"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36</w:t>
            </w:r>
          </w:p>
        </w:tc>
      </w:tr>
      <w:tr w:rsidR="00503B78" w:rsidRPr="00381D63" w:rsidTr="004A2C18">
        <w:trPr>
          <w:trHeight w:val="70"/>
        </w:trPr>
        <w:tc>
          <w:tcPr>
            <w:cnfStyle w:val="001000000000"/>
            <w:tcW w:w="1086" w:type="dxa"/>
            <w:tcBorders>
              <w:top w:val="nil"/>
              <w:left w:val="nil"/>
              <w:bottom w:val="nil"/>
              <w:right w:val="nil"/>
            </w:tcBorders>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300 level</w:t>
            </w:r>
          </w:p>
        </w:tc>
        <w:tc>
          <w:tcPr>
            <w:tcW w:w="113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18</w:t>
            </w:r>
          </w:p>
        </w:tc>
        <w:tc>
          <w:tcPr>
            <w:tcW w:w="1170"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25</w:t>
            </w:r>
          </w:p>
        </w:tc>
        <w:tc>
          <w:tcPr>
            <w:tcW w:w="1212"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43</w:t>
            </w:r>
          </w:p>
        </w:tc>
      </w:tr>
      <w:tr w:rsidR="00503B78" w:rsidRPr="00381D63" w:rsidTr="004A2C18">
        <w:trPr>
          <w:trHeight w:val="70"/>
        </w:trPr>
        <w:tc>
          <w:tcPr>
            <w:cnfStyle w:val="001000000000"/>
            <w:tcW w:w="1086" w:type="dxa"/>
            <w:tcBorders>
              <w:top w:val="nil"/>
              <w:left w:val="nil"/>
              <w:bottom w:val="nil"/>
              <w:right w:val="nil"/>
            </w:tcBorders>
            <w:shd w:val="clear" w:color="auto" w:fill="C0C0C0" w:themeFill="text1" w:themeFillTint="3F"/>
          </w:tcPr>
          <w:p w:rsidR="00503B78" w:rsidRPr="00381D63" w:rsidRDefault="00503B78" w:rsidP="00503B78">
            <w:pPr>
              <w:pStyle w:val="ListParagraph"/>
              <w:numPr>
                <w:ilvl w:val="0"/>
                <w:numId w:val="18"/>
              </w:numPr>
              <w:spacing w:before="0" w:beforeAutospacing="0" w:line="240" w:lineRule="auto"/>
              <w:ind w:left="360"/>
              <w:jc w:val="both"/>
              <w:rPr>
                <w:rFonts w:ascii="Times New Roman" w:hAnsi="Times New Roman"/>
                <w:bCs w:val="0"/>
                <w:sz w:val="26"/>
                <w:szCs w:val="26"/>
              </w:rPr>
            </w:pPr>
          </w:p>
        </w:tc>
        <w:tc>
          <w:tcPr>
            <w:tcW w:w="425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400 level</w:t>
            </w:r>
          </w:p>
        </w:tc>
        <w:tc>
          <w:tcPr>
            <w:tcW w:w="113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10</w:t>
            </w:r>
          </w:p>
        </w:tc>
        <w:tc>
          <w:tcPr>
            <w:tcW w:w="1170"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18</w:t>
            </w:r>
          </w:p>
        </w:tc>
        <w:tc>
          <w:tcPr>
            <w:tcW w:w="1212"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28</w:t>
            </w:r>
          </w:p>
        </w:tc>
      </w:tr>
      <w:tr w:rsidR="00503B78" w:rsidRPr="00381D63" w:rsidTr="004A2C18">
        <w:trPr>
          <w:trHeight w:val="70"/>
        </w:trPr>
        <w:tc>
          <w:tcPr>
            <w:cnfStyle w:val="001000000000"/>
            <w:tcW w:w="1086" w:type="dxa"/>
            <w:tcBorders>
              <w:top w:val="nil"/>
              <w:left w:val="nil"/>
              <w:bottom w:val="single" w:sz="8" w:space="0" w:color="000000" w:themeColor="text1"/>
              <w:right w:val="nil"/>
            </w:tcBorders>
          </w:tcPr>
          <w:p w:rsidR="00503B78" w:rsidRPr="00381D63" w:rsidRDefault="00503B78" w:rsidP="004A2C18">
            <w:pPr>
              <w:pStyle w:val="ListParagraph"/>
              <w:spacing w:line="240" w:lineRule="auto"/>
              <w:ind w:left="360"/>
              <w:jc w:val="both"/>
              <w:rPr>
                <w:rFonts w:ascii="Times New Roman" w:hAnsi="Times New Roman"/>
                <w:bCs w:val="0"/>
                <w:sz w:val="26"/>
                <w:szCs w:val="26"/>
              </w:rPr>
            </w:pPr>
          </w:p>
        </w:tc>
        <w:tc>
          <w:tcPr>
            <w:tcW w:w="4250"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TOTAL</w:t>
            </w:r>
          </w:p>
        </w:tc>
        <w:tc>
          <w:tcPr>
            <w:tcW w:w="1139"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54</w:t>
            </w:r>
          </w:p>
        </w:tc>
        <w:tc>
          <w:tcPr>
            <w:tcW w:w="1170"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95</w:t>
            </w:r>
          </w:p>
        </w:tc>
        <w:tc>
          <w:tcPr>
            <w:tcW w:w="1212" w:type="dxa"/>
            <w:tcBorders>
              <w:top w:val="nil"/>
              <w:left w:val="nil"/>
              <w:bottom w:val="single" w:sz="8" w:space="0" w:color="000000" w:themeColor="text1"/>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149</w:t>
            </w:r>
          </w:p>
        </w:tc>
      </w:tr>
    </w:tbl>
    <w:p w:rsidR="00503B78" w:rsidRPr="00503B78" w:rsidRDefault="00503B78" w:rsidP="00503B78">
      <w:pPr>
        <w:spacing w:line="240" w:lineRule="auto"/>
        <w:jc w:val="both"/>
        <w:rPr>
          <w:rFonts w:ascii="Times New Roman" w:hAnsi="Times New Roman" w:cs="Times New Roman"/>
          <w:b/>
          <w:sz w:val="10"/>
          <w:szCs w:val="26"/>
        </w:rPr>
      </w:pPr>
    </w:p>
    <w:p w:rsidR="00503B78" w:rsidRPr="00381D63" w:rsidRDefault="00503B78" w:rsidP="00503B78">
      <w:pPr>
        <w:spacing w:after="0" w:line="240" w:lineRule="auto"/>
        <w:jc w:val="both"/>
        <w:rPr>
          <w:rFonts w:ascii="Times New Roman" w:hAnsi="Times New Roman" w:cs="Times New Roman"/>
          <w:b/>
          <w:sz w:val="26"/>
          <w:szCs w:val="26"/>
        </w:rPr>
      </w:pPr>
      <w:r w:rsidRPr="00381D63">
        <w:rPr>
          <w:rFonts w:ascii="Times New Roman" w:hAnsi="Times New Roman" w:cs="Times New Roman"/>
          <w:b/>
          <w:sz w:val="26"/>
          <w:szCs w:val="26"/>
        </w:rPr>
        <w:t>Method of Data Collection</w:t>
      </w:r>
    </w:p>
    <w:p w:rsidR="00503B78" w:rsidRPr="00381D63" w:rsidRDefault="00503B78" w:rsidP="00503B78">
      <w:pPr>
        <w:spacing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The instrument used for the study was a questionnaire titled “Nascent Technology and Training of Business Education Student Questionnaire (NTTOBESQ). The questionnaire was administered in the sampled unit to the respondent who were informed of the exercise and on the need to be honest in terms of giving objective response. The researcher administered the questionnaire personally. At the end of the exercise the respondents were asked to return them. The questionnaire instruments administered were all carefully returned for the various units for analysis.</w:t>
      </w:r>
    </w:p>
    <w:p w:rsidR="00503B78" w:rsidRPr="00381D63" w:rsidRDefault="00503B78" w:rsidP="00503B78">
      <w:pPr>
        <w:spacing w:after="0" w:line="240" w:lineRule="auto"/>
        <w:ind w:left="1843" w:hanging="1843"/>
        <w:jc w:val="both"/>
        <w:rPr>
          <w:rFonts w:ascii="Times New Roman" w:hAnsi="Times New Roman" w:cs="Times New Roman"/>
          <w:bCs/>
          <w:sz w:val="26"/>
          <w:szCs w:val="26"/>
        </w:rPr>
      </w:pPr>
      <w:r w:rsidRPr="00381D63">
        <w:rPr>
          <w:rFonts w:ascii="Times New Roman" w:hAnsi="Times New Roman" w:cs="Times New Roman"/>
          <w:bCs/>
          <w:sz w:val="26"/>
          <w:szCs w:val="26"/>
        </w:rPr>
        <w:t xml:space="preserve"> Mean (x) and standard deviation of the study (N=149)</w:t>
      </w:r>
    </w:p>
    <w:p w:rsidR="00503B78" w:rsidRPr="00381D63" w:rsidRDefault="00503B78" w:rsidP="00503B78">
      <w:pPr>
        <w:spacing w:after="0" w:line="240" w:lineRule="auto"/>
        <w:ind w:left="1843" w:hanging="1843"/>
        <w:jc w:val="both"/>
        <w:rPr>
          <w:rFonts w:ascii="Times New Roman" w:hAnsi="Times New Roman" w:cs="Times New Roman"/>
          <w:b/>
          <w:sz w:val="26"/>
          <w:szCs w:val="26"/>
        </w:rPr>
      </w:pPr>
    </w:p>
    <w:tbl>
      <w:tblPr>
        <w:tblStyle w:val="LightShading"/>
        <w:tblW w:w="0" w:type="auto"/>
        <w:tblLook w:val="04A0"/>
      </w:tblPr>
      <w:tblGrid>
        <w:gridCol w:w="2549"/>
        <w:gridCol w:w="2270"/>
        <w:gridCol w:w="2269"/>
        <w:gridCol w:w="2272"/>
      </w:tblGrid>
      <w:tr w:rsidR="00503B78" w:rsidRPr="00381D63" w:rsidTr="004A2C18">
        <w:trPr>
          <w:cnfStyle w:val="100000000000"/>
          <w:trHeight w:val="546"/>
        </w:trPr>
        <w:tc>
          <w:tcPr>
            <w:cnfStyle w:val="001000000000"/>
            <w:tcW w:w="2549" w:type="dxa"/>
          </w:tcPr>
          <w:p w:rsidR="00503B78" w:rsidRPr="00381D63" w:rsidRDefault="00503B78" w:rsidP="004A2C18">
            <w:pPr>
              <w:tabs>
                <w:tab w:val="left" w:pos="2040"/>
              </w:tabs>
              <w:jc w:val="both"/>
              <w:rPr>
                <w:rFonts w:ascii="Times New Roman" w:hAnsi="Times New Roman" w:cs="Times New Roman"/>
                <w:bCs w:val="0"/>
                <w:sz w:val="26"/>
                <w:szCs w:val="26"/>
              </w:rPr>
            </w:pPr>
            <w:r w:rsidRPr="00381D63">
              <w:rPr>
                <w:rFonts w:ascii="Times New Roman" w:hAnsi="Times New Roman" w:cs="Times New Roman"/>
                <w:b w:val="0"/>
                <w:sz w:val="26"/>
                <w:szCs w:val="26"/>
              </w:rPr>
              <w:t>Variables</w:t>
            </w:r>
          </w:p>
        </w:tc>
        <w:tc>
          <w:tcPr>
            <w:tcW w:w="2270" w:type="dxa"/>
          </w:tcPr>
          <w:p w:rsidR="00503B78" w:rsidRPr="00381D63" w:rsidRDefault="00503B78" w:rsidP="004A2C18">
            <w:pPr>
              <w:tabs>
                <w:tab w:val="left" w:pos="2040"/>
              </w:tabs>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No. of items</w:t>
            </w:r>
          </w:p>
        </w:tc>
        <w:tc>
          <w:tcPr>
            <w:tcW w:w="2269" w:type="dxa"/>
          </w:tcPr>
          <w:p w:rsidR="00503B78" w:rsidRPr="00381D63" w:rsidRDefault="00503B78" w:rsidP="004A2C18">
            <w:pPr>
              <w:tabs>
                <w:tab w:val="left" w:pos="2040"/>
              </w:tabs>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X</w:t>
            </w:r>
          </w:p>
        </w:tc>
        <w:tc>
          <w:tcPr>
            <w:tcW w:w="2272" w:type="dxa"/>
          </w:tcPr>
          <w:p w:rsidR="00503B78" w:rsidRPr="00381D63" w:rsidRDefault="00503B78" w:rsidP="004A2C18">
            <w:pPr>
              <w:tabs>
                <w:tab w:val="left" w:pos="2040"/>
              </w:tabs>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SD</w:t>
            </w:r>
          </w:p>
        </w:tc>
      </w:tr>
      <w:tr w:rsidR="00503B78" w:rsidRPr="00381D63" w:rsidTr="004A2C18">
        <w:trPr>
          <w:trHeight w:val="368"/>
        </w:trPr>
        <w:tc>
          <w:tcPr>
            <w:cnfStyle w:val="001000000000"/>
            <w:tcW w:w="2549" w:type="dxa"/>
            <w:tcBorders>
              <w:top w:val="nil"/>
              <w:left w:val="nil"/>
              <w:bottom w:val="nil"/>
              <w:right w:val="nil"/>
            </w:tcBorders>
            <w:shd w:val="clear" w:color="auto" w:fill="C0C0C0" w:themeFill="text1" w:themeFillTint="3F"/>
          </w:tcPr>
          <w:p w:rsidR="00503B78" w:rsidRPr="00381D63" w:rsidRDefault="00503B78" w:rsidP="004A2C18">
            <w:pPr>
              <w:tabs>
                <w:tab w:val="left" w:pos="2040"/>
              </w:tabs>
              <w:jc w:val="both"/>
              <w:rPr>
                <w:rFonts w:ascii="Times New Roman" w:hAnsi="Times New Roman" w:cs="Times New Roman"/>
                <w:bCs w:val="0"/>
                <w:sz w:val="26"/>
                <w:szCs w:val="26"/>
              </w:rPr>
            </w:pPr>
            <w:r w:rsidRPr="00381D63">
              <w:rPr>
                <w:rFonts w:ascii="Times New Roman" w:hAnsi="Times New Roman" w:cs="Times New Roman"/>
                <w:b w:val="0"/>
                <w:sz w:val="26"/>
                <w:szCs w:val="26"/>
              </w:rPr>
              <w:t>Modern computers</w:t>
            </w:r>
          </w:p>
        </w:tc>
        <w:tc>
          <w:tcPr>
            <w:tcW w:w="2270" w:type="dxa"/>
            <w:tcBorders>
              <w:top w:val="nil"/>
              <w:bottom w:val="nil"/>
              <w:right w:val="nil"/>
            </w:tcBorders>
            <w:shd w:val="clear" w:color="auto" w:fill="C0C0C0" w:themeFill="text1" w:themeFillTint="3F"/>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5</w:t>
            </w:r>
          </w:p>
        </w:tc>
        <w:tc>
          <w:tcPr>
            <w:tcW w:w="2269" w:type="dxa"/>
            <w:tcBorders>
              <w:top w:val="nil"/>
              <w:bottom w:val="nil"/>
              <w:right w:val="nil"/>
            </w:tcBorders>
            <w:shd w:val="clear" w:color="auto" w:fill="C0C0C0" w:themeFill="text1" w:themeFillTint="3F"/>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12.19</w:t>
            </w:r>
          </w:p>
        </w:tc>
        <w:tc>
          <w:tcPr>
            <w:tcW w:w="2272" w:type="dxa"/>
            <w:tcBorders>
              <w:top w:val="nil"/>
              <w:bottom w:val="nil"/>
              <w:right w:val="nil"/>
            </w:tcBorders>
            <w:shd w:val="clear" w:color="auto" w:fill="C0C0C0" w:themeFill="text1" w:themeFillTint="3F"/>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4.42</w:t>
            </w:r>
          </w:p>
        </w:tc>
      </w:tr>
      <w:tr w:rsidR="00503B78" w:rsidRPr="00381D63" w:rsidTr="004A2C18">
        <w:trPr>
          <w:trHeight w:val="440"/>
        </w:trPr>
        <w:tc>
          <w:tcPr>
            <w:cnfStyle w:val="001000000000"/>
            <w:tcW w:w="2549" w:type="dxa"/>
            <w:tcBorders>
              <w:top w:val="nil"/>
              <w:left w:val="nil"/>
              <w:bottom w:val="nil"/>
              <w:right w:val="nil"/>
            </w:tcBorders>
          </w:tcPr>
          <w:p w:rsidR="00503B78" w:rsidRPr="00381D63" w:rsidRDefault="00503B78" w:rsidP="004A2C18">
            <w:pPr>
              <w:tabs>
                <w:tab w:val="left" w:pos="2040"/>
              </w:tabs>
              <w:jc w:val="both"/>
              <w:rPr>
                <w:rFonts w:ascii="Times New Roman" w:hAnsi="Times New Roman" w:cs="Times New Roman"/>
                <w:bCs w:val="0"/>
                <w:sz w:val="26"/>
                <w:szCs w:val="26"/>
              </w:rPr>
            </w:pPr>
            <w:r w:rsidRPr="00381D63">
              <w:rPr>
                <w:rFonts w:ascii="Times New Roman" w:hAnsi="Times New Roman" w:cs="Times New Roman"/>
                <w:b w:val="0"/>
                <w:sz w:val="26"/>
                <w:szCs w:val="26"/>
              </w:rPr>
              <w:t>Liquid crystal display</w:t>
            </w:r>
          </w:p>
        </w:tc>
        <w:tc>
          <w:tcPr>
            <w:tcW w:w="2270" w:type="dxa"/>
            <w:tcBorders>
              <w:top w:val="nil"/>
              <w:left w:val="nil"/>
              <w:bottom w:val="nil"/>
              <w:right w:val="nil"/>
            </w:tcBorders>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5</w:t>
            </w:r>
          </w:p>
        </w:tc>
        <w:tc>
          <w:tcPr>
            <w:tcW w:w="2269" w:type="dxa"/>
            <w:tcBorders>
              <w:top w:val="nil"/>
              <w:left w:val="nil"/>
              <w:bottom w:val="nil"/>
              <w:right w:val="nil"/>
            </w:tcBorders>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14.66</w:t>
            </w:r>
          </w:p>
        </w:tc>
        <w:tc>
          <w:tcPr>
            <w:tcW w:w="2272" w:type="dxa"/>
            <w:tcBorders>
              <w:top w:val="nil"/>
              <w:left w:val="nil"/>
              <w:bottom w:val="nil"/>
              <w:right w:val="nil"/>
            </w:tcBorders>
          </w:tcPr>
          <w:p w:rsidR="00503B78" w:rsidRPr="00381D63" w:rsidRDefault="00503B78" w:rsidP="004A2C18">
            <w:pPr>
              <w:tabs>
                <w:tab w:val="left" w:pos="2040"/>
              </w:tabs>
              <w:jc w:val="both"/>
              <w:cnfStyle w:val="000000000000"/>
              <w:rPr>
                <w:rFonts w:ascii="Times New Roman" w:hAnsi="Times New Roman" w:cs="Times New Roman"/>
                <w:sz w:val="26"/>
                <w:szCs w:val="26"/>
              </w:rPr>
            </w:pPr>
            <w:r w:rsidRPr="00381D63">
              <w:rPr>
                <w:rFonts w:ascii="Times New Roman" w:hAnsi="Times New Roman" w:cs="Times New Roman"/>
                <w:sz w:val="26"/>
                <w:szCs w:val="26"/>
              </w:rPr>
              <w:t>4.61</w:t>
            </w:r>
          </w:p>
        </w:tc>
      </w:tr>
    </w:tbl>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Research question one</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To what extent does modern computer influence the training of Business Education students?</w:t>
      </w:r>
    </w:p>
    <w:p w:rsidR="00503B78" w:rsidRPr="00381D63" w:rsidRDefault="00503B78" w:rsidP="00503B78">
      <w:pPr>
        <w:autoSpaceDE w:val="0"/>
        <w:autoSpaceDN w:val="0"/>
        <w:adjustRightInd w:val="0"/>
        <w:spacing w:after="0" w:line="240" w:lineRule="auto"/>
        <w:jc w:val="both"/>
        <w:rPr>
          <w:rFonts w:ascii="Times New Roman" w:hAnsi="Times New Roman" w:cs="Times New Roman"/>
          <w:sz w:val="26"/>
          <w:szCs w:val="26"/>
        </w:rPr>
      </w:pPr>
    </w:p>
    <w:p w:rsidR="00503B78" w:rsidRPr="00381D63" w:rsidRDefault="00503B78" w:rsidP="00503B78">
      <w:pPr>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Table 3: Mean response of the extent of influence of modern computers on the training of business education students (N=149)</w:t>
      </w:r>
    </w:p>
    <w:tbl>
      <w:tblPr>
        <w:tblStyle w:val="LightShading"/>
        <w:tblW w:w="9465" w:type="dxa"/>
        <w:tblLayout w:type="fixed"/>
        <w:tblLook w:val="04A0"/>
      </w:tblPr>
      <w:tblGrid>
        <w:gridCol w:w="651"/>
        <w:gridCol w:w="6262"/>
        <w:gridCol w:w="709"/>
        <w:gridCol w:w="709"/>
        <w:gridCol w:w="1134"/>
      </w:tblGrid>
      <w:tr w:rsidR="00503B78" w:rsidRPr="00381D63" w:rsidTr="004A2C18">
        <w:trPr>
          <w:cnfStyle w:val="100000000000"/>
          <w:trHeight w:val="368"/>
        </w:trPr>
        <w:tc>
          <w:tcPr>
            <w:cnfStyle w:val="001000000000"/>
            <w:tcW w:w="651" w:type="dxa"/>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 xml:space="preserve">S/N </w:t>
            </w:r>
          </w:p>
        </w:tc>
        <w:tc>
          <w:tcPr>
            <w:tcW w:w="6261" w:type="dxa"/>
          </w:tcPr>
          <w:p w:rsidR="00503B78" w:rsidRPr="00381D63" w:rsidRDefault="00503B78" w:rsidP="004A2C18">
            <w:pPr>
              <w:tabs>
                <w:tab w:val="center" w:pos="3022"/>
                <w:tab w:val="right" w:pos="6045"/>
              </w:tabs>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ab/>
              <w:t>ITEMS</w:t>
            </w:r>
            <w:r w:rsidRPr="00381D63">
              <w:rPr>
                <w:rFonts w:ascii="Times New Roman" w:hAnsi="Times New Roman" w:cs="Times New Roman"/>
                <w:b w:val="0"/>
                <w:sz w:val="26"/>
                <w:szCs w:val="26"/>
              </w:rPr>
              <w:tab/>
            </w:r>
          </w:p>
        </w:tc>
        <w:tc>
          <w:tcPr>
            <w:tcW w:w="709"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X</w:t>
            </w:r>
          </w:p>
        </w:tc>
        <w:tc>
          <w:tcPr>
            <w:tcW w:w="709"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SD</w:t>
            </w:r>
          </w:p>
        </w:tc>
        <w:tc>
          <w:tcPr>
            <w:tcW w:w="1134"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Decision</w:t>
            </w:r>
          </w:p>
        </w:tc>
      </w:tr>
      <w:tr w:rsidR="00503B78" w:rsidRPr="00381D63" w:rsidTr="004A2C18">
        <w:tc>
          <w:tcPr>
            <w:cnfStyle w:val="001000000000"/>
            <w:tcW w:w="651"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1</w:t>
            </w:r>
          </w:p>
        </w:tc>
        <w:tc>
          <w:tcPr>
            <w:tcW w:w="6261"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Computer is a technological innovation that performs beyond human capacity</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3.51</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0.89</w:t>
            </w:r>
          </w:p>
        </w:tc>
        <w:tc>
          <w:tcPr>
            <w:tcW w:w="1134"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c>
          <w:tcPr>
            <w:cnfStyle w:val="001000000000"/>
            <w:tcW w:w="651"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2</w:t>
            </w:r>
          </w:p>
        </w:tc>
        <w:tc>
          <w:tcPr>
            <w:tcW w:w="6261"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Through computer education the generality of the students are made computer literate</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3.45</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0.65</w:t>
            </w:r>
          </w:p>
        </w:tc>
        <w:tc>
          <w:tcPr>
            <w:tcW w:w="1134"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rPr>
          <w:trHeight w:val="332"/>
        </w:trPr>
        <w:tc>
          <w:tcPr>
            <w:cnfStyle w:val="001000000000"/>
            <w:tcW w:w="651"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3</w:t>
            </w:r>
          </w:p>
        </w:tc>
        <w:tc>
          <w:tcPr>
            <w:tcW w:w="6261"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Computer literacy is the ability understand computer language</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3.48</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0.76</w:t>
            </w:r>
          </w:p>
        </w:tc>
        <w:tc>
          <w:tcPr>
            <w:tcW w:w="1134"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rPr>
          <w:trHeight w:val="278"/>
        </w:trPr>
        <w:tc>
          <w:tcPr>
            <w:cnfStyle w:val="001000000000"/>
            <w:tcW w:w="651"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4</w:t>
            </w:r>
          </w:p>
        </w:tc>
        <w:tc>
          <w:tcPr>
            <w:tcW w:w="6261"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Computer cannot be used to evaluate students’ performance</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2.38</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0.49</w:t>
            </w:r>
          </w:p>
        </w:tc>
        <w:tc>
          <w:tcPr>
            <w:tcW w:w="1134"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rPr>
          <w:trHeight w:val="570"/>
        </w:trPr>
        <w:tc>
          <w:tcPr>
            <w:cnfStyle w:val="001000000000"/>
            <w:tcW w:w="651"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5</w:t>
            </w:r>
          </w:p>
        </w:tc>
        <w:tc>
          <w:tcPr>
            <w:tcW w:w="6261"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Computer does not suffer from tiredness and lack of concentration like human beings</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2.40</w:t>
            </w:r>
          </w:p>
        </w:tc>
        <w:tc>
          <w:tcPr>
            <w:tcW w:w="70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0.55</w:t>
            </w:r>
          </w:p>
        </w:tc>
        <w:tc>
          <w:tcPr>
            <w:tcW w:w="1134"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rPr>
          <w:trHeight w:val="312"/>
        </w:trPr>
        <w:tc>
          <w:tcPr>
            <w:cnfStyle w:val="001000000000"/>
            <w:tcW w:w="651"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6</w:t>
            </w:r>
          </w:p>
        </w:tc>
        <w:tc>
          <w:tcPr>
            <w:tcW w:w="6261"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Computers does not perform multifunctional roles in teaching and learning process</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2.42</w:t>
            </w:r>
          </w:p>
        </w:tc>
        <w:tc>
          <w:tcPr>
            <w:tcW w:w="70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0.53</w:t>
            </w:r>
          </w:p>
        </w:tc>
        <w:tc>
          <w:tcPr>
            <w:tcW w:w="1134"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rPr>
          <w:trHeight w:val="280"/>
        </w:trPr>
        <w:tc>
          <w:tcPr>
            <w:cnfStyle w:val="001000000000"/>
            <w:tcW w:w="651" w:type="dxa"/>
            <w:tcBorders>
              <w:top w:val="nil"/>
              <w:left w:val="nil"/>
              <w:bottom w:val="single" w:sz="8" w:space="0" w:color="000000" w:themeColor="text1"/>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p>
        </w:tc>
        <w:tc>
          <w:tcPr>
            <w:tcW w:w="6261" w:type="dxa"/>
            <w:tcBorders>
              <w:top w:val="nil"/>
              <w:bottom w:val="single" w:sz="8" w:space="0" w:color="000000" w:themeColor="text1"/>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Grand Means</w:t>
            </w:r>
          </w:p>
        </w:tc>
        <w:tc>
          <w:tcPr>
            <w:tcW w:w="709"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2.94</w:t>
            </w:r>
          </w:p>
        </w:tc>
        <w:tc>
          <w:tcPr>
            <w:tcW w:w="709"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0.65</w:t>
            </w:r>
          </w:p>
        </w:tc>
        <w:tc>
          <w:tcPr>
            <w:tcW w:w="1134"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bl>
    <w:p w:rsidR="00503B78" w:rsidRDefault="00503B78" w:rsidP="00503B78">
      <w:pPr>
        <w:spacing w:after="0" w:line="240" w:lineRule="auto"/>
        <w:jc w:val="both"/>
        <w:rPr>
          <w:rFonts w:ascii="Times New Roman" w:hAnsi="Times New Roman" w:cs="Times New Roman"/>
          <w:sz w:val="26"/>
          <w:szCs w:val="26"/>
        </w:rPr>
      </w:pPr>
    </w:p>
    <w:p w:rsidR="00503B78" w:rsidRPr="00381D63" w:rsidRDefault="00503B78" w:rsidP="00503B78">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xml:space="preserve">Data presented in Table 3 indicates that the mean score of the respondents range from 2.38 to 3.51 with a grand mean of 2.94. The standard deviation ranged between 0.53 to </w:t>
      </w:r>
      <w:r w:rsidRPr="00381D63">
        <w:rPr>
          <w:rFonts w:ascii="Times New Roman" w:hAnsi="Times New Roman" w:cs="Times New Roman"/>
          <w:sz w:val="26"/>
          <w:szCs w:val="26"/>
        </w:rPr>
        <w:lastRenderedPageBreak/>
        <w:t xml:space="preserve">0.89 with a grand standard deviation of 0.75. This result suggests that there is great extent of influence of modern computers on the training of Business Education students of University, Calabar. </w:t>
      </w:r>
    </w:p>
    <w:p w:rsidR="00503B78" w:rsidRPr="00381D63" w:rsidRDefault="00503B78" w:rsidP="00503B78">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Research question two</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To what extent does liquid crystal display projectors influence the training of Business Education students?</w:t>
      </w:r>
    </w:p>
    <w:p w:rsidR="00503B78" w:rsidRDefault="00503B78">
      <w:pPr>
        <w:rPr>
          <w:rFonts w:ascii="Times New Roman" w:hAnsi="Times New Roman" w:cs="Times New Roman"/>
          <w:b/>
          <w:sz w:val="26"/>
          <w:szCs w:val="26"/>
        </w:rPr>
      </w:pPr>
      <w:r>
        <w:rPr>
          <w:rFonts w:ascii="Times New Roman" w:hAnsi="Times New Roman" w:cs="Times New Roman"/>
          <w:b/>
          <w:sz w:val="26"/>
          <w:szCs w:val="26"/>
        </w:rPr>
        <w:br w:type="page"/>
      </w:r>
    </w:p>
    <w:p w:rsidR="00503B78" w:rsidRPr="00381D63" w:rsidRDefault="00503B78" w:rsidP="00503B78">
      <w:pPr>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lastRenderedPageBreak/>
        <w:t>Mean response of the influence of liquid crystal display projectors on the training of Business Education students (N=149)</w:t>
      </w:r>
    </w:p>
    <w:tbl>
      <w:tblPr>
        <w:tblStyle w:val="LightShading"/>
        <w:tblW w:w="0" w:type="auto"/>
        <w:tblLook w:val="04A0"/>
      </w:tblPr>
      <w:tblGrid>
        <w:gridCol w:w="650"/>
        <w:gridCol w:w="5677"/>
        <w:gridCol w:w="829"/>
        <w:gridCol w:w="671"/>
        <w:gridCol w:w="1523"/>
      </w:tblGrid>
      <w:tr w:rsidR="00503B78" w:rsidRPr="00381D63" w:rsidTr="004A2C18">
        <w:trPr>
          <w:cnfStyle w:val="100000000000"/>
          <w:trHeight w:val="254"/>
        </w:trPr>
        <w:tc>
          <w:tcPr>
            <w:cnfStyle w:val="001000000000"/>
            <w:tcW w:w="650" w:type="dxa"/>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 xml:space="preserve">S/N </w:t>
            </w:r>
          </w:p>
        </w:tc>
        <w:tc>
          <w:tcPr>
            <w:tcW w:w="5677" w:type="dxa"/>
          </w:tcPr>
          <w:p w:rsidR="00503B78" w:rsidRPr="00381D63" w:rsidRDefault="00503B78" w:rsidP="004A2C18">
            <w:pPr>
              <w:tabs>
                <w:tab w:val="center" w:pos="3022"/>
                <w:tab w:val="right" w:pos="6045"/>
              </w:tabs>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ab/>
              <w:t>ITEMS</w:t>
            </w:r>
            <w:r w:rsidRPr="00381D63">
              <w:rPr>
                <w:rFonts w:ascii="Times New Roman" w:hAnsi="Times New Roman" w:cs="Times New Roman"/>
                <w:b w:val="0"/>
                <w:sz w:val="26"/>
                <w:szCs w:val="26"/>
              </w:rPr>
              <w:tab/>
            </w:r>
          </w:p>
        </w:tc>
        <w:tc>
          <w:tcPr>
            <w:tcW w:w="829"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X</w:t>
            </w:r>
          </w:p>
        </w:tc>
        <w:tc>
          <w:tcPr>
            <w:tcW w:w="671"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SD</w:t>
            </w:r>
          </w:p>
        </w:tc>
        <w:tc>
          <w:tcPr>
            <w:tcW w:w="1523" w:type="dxa"/>
          </w:tcPr>
          <w:p w:rsidR="00503B78" w:rsidRPr="00381D63" w:rsidRDefault="00503B78" w:rsidP="004A2C18">
            <w:pPr>
              <w:jc w:val="both"/>
              <w:cnfStyle w:val="100000000000"/>
              <w:rPr>
                <w:rFonts w:ascii="Times New Roman" w:hAnsi="Times New Roman" w:cs="Times New Roman"/>
                <w:bCs w:val="0"/>
                <w:sz w:val="26"/>
                <w:szCs w:val="26"/>
              </w:rPr>
            </w:pPr>
            <w:r w:rsidRPr="00381D63">
              <w:rPr>
                <w:rFonts w:ascii="Times New Roman" w:hAnsi="Times New Roman" w:cs="Times New Roman"/>
                <w:b w:val="0"/>
                <w:sz w:val="26"/>
                <w:szCs w:val="26"/>
              </w:rPr>
              <w:t>Decision</w:t>
            </w:r>
          </w:p>
        </w:tc>
      </w:tr>
      <w:tr w:rsidR="00503B78" w:rsidRPr="00381D63" w:rsidTr="004A2C18">
        <w:trPr>
          <w:trHeight w:val="635"/>
        </w:trPr>
        <w:tc>
          <w:tcPr>
            <w:cnfStyle w:val="001000000000"/>
            <w:tcW w:w="650"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7</w:t>
            </w:r>
          </w:p>
        </w:tc>
        <w:tc>
          <w:tcPr>
            <w:tcW w:w="5677"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Liquid crystal display are used in the classroom to encourage the learning progress </w:t>
            </w:r>
          </w:p>
        </w:tc>
        <w:tc>
          <w:tcPr>
            <w:tcW w:w="82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3.31</w:t>
            </w:r>
          </w:p>
        </w:tc>
        <w:tc>
          <w:tcPr>
            <w:tcW w:w="671"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0.68</w:t>
            </w:r>
          </w:p>
        </w:tc>
        <w:tc>
          <w:tcPr>
            <w:tcW w:w="1523"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rPr>
          <w:trHeight w:val="413"/>
        </w:trPr>
        <w:tc>
          <w:tcPr>
            <w:cnfStyle w:val="001000000000"/>
            <w:tcW w:w="650"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8</w:t>
            </w:r>
          </w:p>
        </w:tc>
        <w:tc>
          <w:tcPr>
            <w:tcW w:w="5677"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Visual learning does not stimulates thinking and cognize</w:t>
            </w:r>
          </w:p>
        </w:tc>
        <w:tc>
          <w:tcPr>
            <w:tcW w:w="82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2.47</w:t>
            </w:r>
          </w:p>
        </w:tc>
        <w:tc>
          <w:tcPr>
            <w:tcW w:w="671"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0.58</w:t>
            </w:r>
          </w:p>
        </w:tc>
        <w:tc>
          <w:tcPr>
            <w:tcW w:w="1523"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c>
          <w:tcPr>
            <w:cnfStyle w:val="001000000000"/>
            <w:tcW w:w="650"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9</w:t>
            </w:r>
          </w:p>
        </w:tc>
        <w:tc>
          <w:tcPr>
            <w:tcW w:w="5677"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 xml:space="preserve">Projectors as an emerging technology presents unit of knowledge through auditory of visual stimuli </w:t>
            </w:r>
          </w:p>
        </w:tc>
        <w:tc>
          <w:tcPr>
            <w:tcW w:w="82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3.40</w:t>
            </w:r>
          </w:p>
        </w:tc>
        <w:tc>
          <w:tcPr>
            <w:tcW w:w="671"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0.89</w:t>
            </w:r>
          </w:p>
        </w:tc>
        <w:tc>
          <w:tcPr>
            <w:tcW w:w="1523"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c>
          <w:tcPr>
            <w:cnfStyle w:val="001000000000"/>
            <w:tcW w:w="650"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10</w:t>
            </w:r>
          </w:p>
        </w:tc>
        <w:tc>
          <w:tcPr>
            <w:tcW w:w="5677"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Technology should assist on the creating a collaborative learning environment</w:t>
            </w:r>
          </w:p>
        </w:tc>
        <w:tc>
          <w:tcPr>
            <w:tcW w:w="82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3.48</w:t>
            </w:r>
          </w:p>
        </w:tc>
        <w:tc>
          <w:tcPr>
            <w:tcW w:w="671"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0.87</w:t>
            </w:r>
          </w:p>
        </w:tc>
        <w:tc>
          <w:tcPr>
            <w:tcW w:w="1523"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r w:rsidR="00503B78" w:rsidRPr="00381D63" w:rsidTr="004A2C18">
        <w:trPr>
          <w:trHeight w:val="525"/>
        </w:trPr>
        <w:tc>
          <w:tcPr>
            <w:cnfStyle w:val="001000000000"/>
            <w:tcW w:w="650" w:type="dxa"/>
            <w:tcBorders>
              <w:top w:val="nil"/>
              <w:left w:val="nil"/>
              <w:bottom w:val="nil"/>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11</w:t>
            </w:r>
          </w:p>
        </w:tc>
        <w:tc>
          <w:tcPr>
            <w:tcW w:w="5677" w:type="dxa"/>
            <w:tcBorders>
              <w:top w:val="nil"/>
              <w:bottom w:val="nil"/>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Audio-visual technology cannot play a major role of making learning permanent</w:t>
            </w:r>
          </w:p>
        </w:tc>
        <w:tc>
          <w:tcPr>
            <w:tcW w:w="829"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2.43</w:t>
            </w:r>
          </w:p>
        </w:tc>
        <w:tc>
          <w:tcPr>
            <w:tcW w:w="671"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0.54</w:t>
            </w:r>
          </w:p>
        </w:tc>
        <w:tc>
          <w:tcPr>
            <w:tcW w:w="1523" w:type="dxa"/>
            <w:tcBorders>
              <w:top w:val="nil"/>
              <w:bottom w:val="nil"/>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rPr>
          <w:trHeight w:val="357"/>
        </w:trPr>
        <w:tc>
          <w:tcPr>
            <w:cnfStyle w:val="001000000000"/>
            <w:tcW w:w="650" w:type="dxa"/>
            <w:tcBorders>
              <w:top w:val="nil"/>
              <w:left w:val="nil"/>
              <w:bottom w:val="nil"/>
              <w:right w:val="nil"/>
            </w:tcBorders>
          </w:tcPr>
          <w:p w:rsidR="00503B78" w:rsidRPr="00381D63" w:rsidRDefault="00503B78" w:rsidP="004A2C18">
            <w:pPr>
              <w:jc w:val="both"/>
              <w:rPr>
                <w:rFonts w:ascii="Times New Roman" w:hAnsi="Times New Roman" w:cs="Times New Roman"/>
                <w:bCs w:val="0"/>
                <w:sz w:val="26"/>
                <w:szCs w:val="26"/>
              </w:rPr>
            </w:pPr>
            <w:r w:rsidRPr="00381D63">
              <w:rPr>
                <w:rFonts w:ascii="Times New Roman" w:hAnsi="Times New Roman" w:cs="Times New Roman"/>
                <w:b w:val="0"/>
                <w:sz w:val="26"/>
                <w:szCs w:val="26"/>
              </w:rPr>
              <w:t>12</w:t>
            </w:r>
          </w:p>
        </w:tc>
        <w:tc>
          <w:tcPr>
            <w:tcW w:w="5677" w:type="dxa"/>
            <w:tcBorders>
              <w:top w:val="nil"/>
              <w:left w:val="nil"/>
              <w:bottom w:val="nil"/>
              <w:right w:val="nil"/>
            </w:tcBorders>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LCD does not clarify information presented therefore does not visualize what is learned.</w:t>
            </w:r>
          </w:p>
        </w:tc>
        <w:tc>
          <w:tcPr>
            <w:tcW w:w="829"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2.48</w:t>
            </w:r>
          </w:p>
        </w:tc>
        <w:tc>
          <w:tcPr>
            <w:tcW w:w="671"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0.58</w:t>
            </w:r>
          </w:p>
        </w:tc>
        <w:tc>
          <w:tcPr>
            <w:tcW w:w="1523" w:type="dxa"/>
            <w:tcBorders>
              <w:top w:val="nil"/>
              <w:left w:val="nil"/>
              <w:bottom w:val="nil"/>
              <w:right w:val="nil"/>
            </w:tcBorders>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LE</w:t>
            </w:r>
          </w:p>
        </w:tc>
      </w:tr>
      <w:tr w:rsidR="00503B78" w:rsidRPr="00381D63" w:rsidTr="004A2C18">
        <w:trPr>
          <w:trHeight w:val="360"/>
        </w:trPr>
        <w:tc>
          <w:tcPr>
            <w:cnfStyle w:val="001000000000"/>
            <w:tcW w:w="650" w:type="dxa"/>
            <w:tcBorders>
              <w:top w:val="nil"/>
              <w:left w:val="nil"/>
              <w:bottom w:val="single" w:sz="8" w:space="0" w:color="000000" w:themeColor="text1"/>
              <w:right w:val="nil"/>
            </w:tcBorders>
            <w:shd w:val="clear" w:color="auto" w:fill="C0C0C0" w:themeFill="text1" w:themeFillTint="3F"/>
          </w:tcPr>
          <w:p w:rsidR="00503B78" w:rsidRPr="00381D63" w:rsidRDefault="00503B78" w:rsidP="004A2C18">
            <w:pPr>
              <w:jc w:val="both"/>
              <w:rPr>
                <w:rFonts w:ascii="Times New Roman" w:hAnsi="Times New Roman" w:cs="Times New Roman"/>
                <w:bCs w:val="0"/>
                <w:sz w:val="26"/>
                <w:szCs w:val="26"/>
              </w:rPr>
            </w:pPr>
          </w:p>
        </w:tc>
        <w:tc>
          <w:tcPr>
            <w:tcW w:w="5677" w:type="dxa"/>
            <w:tcBorders>
              <w:top w:val="nil"/>
              <w:bottom w:val="single" w:sz="8" w:space="0" w:color="000000" w:themeColor="text1"/>
              <w:right w:val="nil"/>
            </w:tcBorders>
            <w:shd w:val="clear" w:color="auto" w:fill="C0C0C0" w:themeFill="text1" w:themeFillTint="3F"/>
          </w:tcPr>
          <w:p w:rsidR="00503B78" w:rsidRPr="00381D63" w:rsidRDefault="00503B78" w:rsidP="004A2C18">
            <w:pPr>
              <w:autoSpaceDE w:val="0"/>
              <w:autoSpaceDN w:val="0"/>
              <w:adjustRightInd w:val="0"/>
              <w:jc w:val="both"/>
              <w:cnfStyle w:val="000000000000"/>
              <w:rPr>
                <w:rFonts w:ascii="Times New Roman" w:hAnsi="Times New Roman" w:cs="Times New Roman"/>
                <w:sz w:val="26"/>
                <w:szCs w:val="26"/>
              </w:rPr>
            </w:pPr>
            <w:r w:rsidRPr="00381D63">
              <w:rPr>
                <w:rFonts w:ascii="Times New Roman" w:hAnsi="Times New Roman" w:cs="Times New Roman"/>
                <w:sz w:val="26"/>
                <w:szCs w:val="26"/>
              </w:rPr>
              <w:t>Grand Means</w:t>
            </w:r>
          </w:p>
        </w:tc>
        <w:tc>
          <w:tcPr>
            <w:tcW w:w="829"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2.93</w:t>
            </w:r>
          </w:p>
        </w:tc>
        <w:tc>
          <w:tcPr>
            <w:tcW w:w="671"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0.67</w:t>
            </w:r>
          </w:p>
        </w:tc>
        <w:tc>
          <w:tcPr>
            <w:tcW w:w="1523" w:type="dxa"/>
            <w:tcBorders>
              <w:top w:val="nil"/>
              <w:bottom w:val="single" w:sz="8" w:space="0" w:color="000000" w:themeColor="text1"/>
              <w:right w:val="nil"/>
            </w:tcBorders>
            <w:shd w:val="clear" w:color="auto" w:fill="C0C0C0" w:themeFill="text1" w:themeFillTint="3F"/>
          </w:tcPr>
          <w:p w:rsidR="00503B78" w:rsidRPr="00381D63" w:rsidRDefault="00503B78" w:rsidP="004A2C18">
            <w:pPr>
              <w:jc w:val="both"/>
              <w:cnfStyle w:val="000000000000"/>
              <w:rPr>
                <w:rFonts w:ascii="Times New Roman" w:hAnsi="Times New Roman" w:cs="Times New Roman"/>
                <w:sz w:val="26"/>
                <w:szCs w:val="26"/>
              </w:rPr>
            </w:pPr>
            <w:r w:rsidRPr="00381D63">
              <w:rPr>
                <w:rFonts w:ascii="Times New Roman" w:hAnsi="Times New Roman" w:cs="Times New Roman"/>
                <w:sz w:val="26"/>
                <w:szCs w:val="26"/>
              </w:rPr>
              <w:t>GE</w:t>
            </w:r>
          </w:p>
        </w:tc>
      </w:tr>
    </w:tbl>
    <w:p w:rsidR="00503B78" w:rsidRPr="00381D63" w:rsidRDefault="00503B78" w:rsidP="00503B78">
      <w:pPr>
        <w:spacing w:after="0" w:line="240" w:lineRule="auto"/>
        <w:jc w:val="both"/>
        <w:rPr>
          <w:rFonts w:ascii="Times New Roman" w:hAnsi="Times New Roman" w:cs="Times New Roman"/>
          <w:sz w:val="26"/>
          <w:szCs w:val="26"/>
        </w:rPr>
      </w:pP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Data presented in Table 4 indicates that the mean score of the respondents ranged between 2.43 to 3.48 with a grand mean of 3.41.   The standard deviation ranged between 0.47 to 0.91with a standard deviation of 0.67. This result indicates that there is a great extent of influence of liquid crystal display projectors on the training of Business Education students of University, Calabar</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bCs/>
          <w:color w:val="000000"/>
          <w:sz w:val="26"/>
          <w:szCs w:val="26"/>
        </w:rPr>
      </w:pP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b/>
          <w:bCs/>
          <w:color w:val="000000"/>
          <w:sz w:val="26"/>
          <w:szCs w:val="26"/>
        </w:rPr>
        <w:t>Testing of Hypotheses</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color w:val="000000"/>
          <w:sz w:val="26"/>
          <w:szCs w:val="26"/>
        </w:rPr>
        <w:t>Hypothesis One</w:t>
      </w:r>
    </w:p>
    <w:p w:rsidR="00503B78" w:rsidRPr="00381D63" w:rsidRDefault="00503B78" w:rsidP="00503B78">
      <w:pPr>
        <w:spacing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There is no significant difference between the mean responses of male and female business education students on the influence of Modern Computers on the training of Business Education students. </w:t>
      </w:r>
      <w:r w:rsidRPr="00381D63">
        <w:rPr>
          <w:rFonts w:ascii="Times New Roman" w:hAnsi="Times New Roman" w:cs="Times New Roman"/>
          <w:color w:val="000000"/>
          <w:sz w:val="26"/>
          <w:szCs w:val="26"/>
        </w:rPr>
        <w:t xml:space="preserve">The independent variable in this hypothesis is </w:t>
      </w:r>
      <w:r w:rsidRPr="00381D63">
        <w:rPr>
          <w:rFonts w:ascii="Times New Roman" w:hAnsi="Times New Roman" w:cs="Times New Roman"/>
          <w:sz w:val="26"/>
          <w:szCs w:val="26"/>
        </w:rPr>
        <w:t>Modern Computers</w:t>
      </w:r>
      <w:r w:rsidRPr="00381D63">
        <w:rPr>
          <w:rFonts w:ascii="Times New Roman" w:hAnsi="Times New Roman" w:cs="Times New Roman"/>
          <w:color w:val="000000"/>
          <w:sz w:val="26"/>
          <w:szCs w:val="26"/>
        </w:rPr>
        <w:t xml:space="preserve">. The dependent variable is </w:t>
      </w:r>
      <w:r w:rsidRPr="00381D63">
        <w:rPr>
          <w:rFonts w:ascii="Times New Roman" w:hAnsi="Times New Roman" w:cs="Times New Roman"/>
          <w:sz w:val="26"/>
          <w:szCs w:val="26"/>
        </w:rPr>
        <w:t>training of Business Education students.</w:t>
      </w:r>
      <w:r w:rsidRPr="00381D63">
        <w:rPr>
          <w:rFonts w:ascii="Times New Roman" w:hAnsi="Times New Roman" w:cs="Times New Roman"/>
          <w:color w:val="000000"/>
          <w:sz w:val="26"/>
          <w:szCs w:val="26"/>
        </w:rPr>
        <w:t xml:space="preserve"> Independent t-test analysis was employed to test this Hypothesis. The result of the analysis is presented in Table 8.</w:t>
      </w:r>
    </w:p>
    <w:p w:rsidR="00503B78"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xml:space="preserve">T-test statistics analysis of the mean responses of male and female </w:t>
      </w:r>
      <w:r>
        <w:rPr>
          <w:rFonts w:ascii="Times New Roman" w:hAnsi="Times New Roman" w:cs="Times New Roman"/>
          <w:color w:val="000000"/>
          <w:sz w:val="26"/>
          <w:szCs w:val="26"/>
        </w:rPr>
        <w:t>business education</w:t>
      </w:r>
    </w:p>
    <w:p w:rsidR="00503B78"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students on the influence of modern computers on the</w:t>
      </w:r>
      <w:r>
        <w:rPr>
          <w:rFonts w:ascii="Times New Roman" w:hAnsi="Times New Roman" w:cs="Times New Roman"/>
          <w:color w:val="000000"/>
          <w:sz w:val="26"/>
          <w:szCs w:val="26"/>
        </w:rPr>
        <w:t xml:space="preserve"> training of business education</w:t>
      </w:r>
    </w:p>
    <w:p w:rsidR="00503B78" w:rsidRPr="00381D63"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students (N= 149).</w:t>
      </w:r>
    </w:p>
    <w:p w:rsidR="00503B78" w:rsidRPr="00381D63"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bCs/>
          <w:color w:val="000000"/>
          <w:sz w:val="26"/>
          <w:szCs w:val="26"/>
        </w:rPr>
      </w:pPr>
    </w:p>
    <w:tbl>
      <w:tblPr>
        <w:tblStyle w:val="TableGrid"/>
        <w:tblW w:w="82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18"/>
        <w:gridCol w:w="540"/>
        <w:gridCol w:w="900"/>
        <w:gridCol w:w="900"/>
        <w:gridCol w:w="630"/>
        <w:gridCol w:w="900"/>
        <w:gridCol w:w="810"/>
      </w:tblGrid>
      <w:tr w:rsidR="00503B78" w:rsidRPr="00381D63" w:rsidTr="004A2C18">
        <w:tc>
          <w:tcPr>
            <w:tcW w:w="3618"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 xml:space="preserve">Variable </w:t>
            </w:r>
          </w:p>
        </w:tc>
        <w:tc>
          <w:tcPr>
            <w:tcW w:w="54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N</w:t>
            </w:r>
          </w:p>
        </w:tc>
        <w:tc>
          <w:tcPr>
            <w:tcW w:w="90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X</w:t>
            </w:r>
          </w:p>
        </w:tc>
        <w:tc>
          <w:tcPr>
            <w:tcW w:w="90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SD</w:t>
            </w:r>
          </w:p>
        </w:tc>
        <w:tc>
          <w:tcPr>
            <w:tcW w:w="63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Df</w:t>
            </w:r>
          </w:p>
        </w:tc>
        <w:tc>
          <w:tcPr>
            <w:tcW w:w="90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t-cal</w:t>
            </w:r>
          </w:p>
        </w:tc>
        <w:tc>
          <w:tcPr>
            <w:tcW w:w="810"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t-crit</w:t>
            </w:r>
          </w:p>
        </w:tc>
      </w:tr>
      <w:tr w:rsidR="00503B78" w:rsidRPr="00381D63" w:rsidTr="004A2C18">
        <w:tc>
          <w:tcPr>
            <w:tcW w:w="3618"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Male students</w:t>
            </w:r>
          </w:p>
        </w:tc>
        <w:tc>
          <w:tcPr>
            <w:tcW w:w="54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54</w:t>
            </w:r>
          </w:p>
        </w:tc>
        <w:tc>
          <w:tcPr>
            <w:tcW w:w="90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67.30</w:t>
            </w:r>
          </w:p>
        </w:tc>
        <w:tc>
          <w:tcPr>
            <w:tcW w:w="90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6.60</w:t>
            </w:r>
          </w:p>
        </w:tc>
        <w:tc>
          <w:tcPr>
            <w:tcW w:w="63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c>
          <w:tcPr>
            <w:tcW w:w="90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c>
          <w:tcPr>
            <w:tcW w:w="810"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r>
      <w:tr w:rsidR="00503B78" w:rsidRPr="00381D63" w:rsidTr="004A2C18">
        <w:tc>
          <w:tcPr>
            <w:tcW w:w="3618"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54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90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90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63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147</w:t>
            </w:r>
          </w:p>
        </w:tc>
        <w:tc>
          <w:tcPr>
            <w:tcW w:w="90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2.37*</w:t>
            </w:r>
          </w:p>
        </w:tc>
        <w:tc>
          <w:tcPr>
            <w:tcW w:w="810"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1.96</w:t>
            </w:r>
          </w:p>
        </w:tc>
      </w:tr>
      <w:tr w:rsidR="00503B78" w:rsidRPr="00381D63" w:rsidTr="004A2C18">
        <w:tc>
          <w:tcPr>
            <w:tcW w:w="3618"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Female students</w:t>
            </w:r>
          </w:p>
        </w:tc>
        <w:tc>
          <w:tcPr>
            <w:tcW w:w="54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95</w:t>
            </w:r>
          </w:p>
        </w:tc>
        <w:tc>
          <w:tcPr>
            <w:tcW w:w="90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64.06</w:t>
            </w:r>
          </w:p>
        </w:tc>
        <w:tc>
          <w:tcPr>
            <w:tcW w:w="90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8.85</w:t>
            </w:r>
          </w:p>
        </w:tc>
        <w:tc>
          <w:tcPr>
            <w:tcW w:w="63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c>
          <w:tcPr>
            <w:tcW w:w="90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c>
          <w:tcPr>
            <w:tcW w:w="810"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r>
    </w:tbl>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i/>
          <w:sz w:val="26"/>
          <w:szCs w:val="26"/>
        </w:rPr>
      </w:pPr>
      <w:r w:rsidRPr="00381D63">
        <w:rPr>
          <w:rFonts w:ascii="Times New Roman" w:hAnsi="Times New Roman" w:cs="Times New Roman"/>
          <w:i/>
          <w:color w:val="000000"/>
          <w:sz w:val="26"/>
          <w:szCs w:val="26"/>
        </w:rPr>
        <w:t>* Significant at p&lt;.05 df = 147 t-crit = 1.96</w:t>
      </w:r>
    </w:p>
    <w:p w:rsidR="00503B78" w:rsidRPr="00381D63" w:rsidRDefault="00503B78" w:rsidP="00503B78">
      <w:pPr>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xml:space="preserve">The result of the analysis as presented in Table 5 reveals that the calculated t-value of 2.37 is greater than the critical t-value of 1.96 at 0.05 level of significance with 147 </w:t>
      </w:r>
      <w:r w:rsidRPr="00381D63">
        <w:rPr>
          <w:rFonts w:ascii="Times New Roman" w:hAnsi="Times New Roman" w:cs="Times New Roman"/>
          <w:color w:val="000000"/>
          <w:sz w:val="26"/>
          <w:szCs w:val="26"/>
        </w:rPr>
        <w:lastRenderedPageBreak/>
        <w:t>degrees of freedom. This shows that the result of the analysis is significant since the calculated t-value is higher than the critical t-value. With this result, the null hypothesis was rejected. This means that there is significant difference between the mean responses of male and female business education students influence Modern Computers and  the training of Business Education students.</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381D63">
        <w:rPr>
          <w:rFonts w:ascii="Times New Roman" w:hAnsi="Times New Roman" w:cs="Times New Roman"/>
          <w:color w:val="000000"/>
          <w:sz w:val="26"/>
          <w:szCs w:val="26"/>
        </w:rPr>
        <w:t>Hypothesis Two</w:t>
      </w:r>
    </w:p>
    <w:p w:rsidR="00503B78" w:rsidRPr="00381D63" w:rsidRDefault="00503B78" w:rsidP="00503B78">
      <w:pPr>
        <w:spacing w:line="240" w:lineRule="auto"/>
        <w:ind w:firstLine="720"/>
        <w:jc w:val="both"/>
        <w:rPr>
          <w:rFonts w:ascii="Times New Roman" w:hAnsi="Times New Roman" w:cs="Times New Roman"/>
          <w:sz w:val="26"/>
          <w:szCs w:val="26"/>
        </w:rPr>
      </w:pPr>
      <w:r w:rsidRPr="00381D63">
        <w:rPr>
          <w:rFonts w:ascii="Times New Roman" w:hAnsi="Times New Roman" w:cs="Times New Roman"/>
          <w:sz w:val="26"/>
          <w:szCs w:val="26"/>
        </w:rPr>
        <w:t xml:space="preserve">There is no significant difference between the mean responses of male and female business education students on the influence of Liquid Crystal Display (LCD) on the training of Business Education students. </w:t>
      </w:r>
      <w:r w:rsidRPr="00381D63">
        <w:rPr>
          <w:rFonts w:ascii="Times New Roman" w:hAnsi="Times New Roman" w:cs="Times New Roman"/>
          <w:color w:val="000000"/>
          <w:sz w:val="26"/>
          <w:szCs w:val="26"/>
        </w:rPr>
        <w:t xml:space="preserve">The independent variable in this hypothesis is </w:t>
      </w:r>
      <w:r w:rsidRPr="00381D63">
        <w:rPr>
          <w:rFonts w:ascii="Times New Roman" w:hAnsi="Times New Roman" w:cs="Times New Roman"/>
          <w:sz w:val="26"/>
          <w:szCs w:val="26"/>
        </w:rPr>
        <w:t>Liquid Crystal Display (LCD)</w:t>
      </w:r>
      <w:r w:rsidRPr="00381D63">
        <w:rPr>
          <w:rFonts w:ascii="Times New Roman" w:hAnsi="Times New Roman" w:cs="Times New Roman"/>
          <w:color w:val="000000"/>
          <w:sz w:val="26"/>
          <w:szCs w:val="26"/>
        </w:rPr>
        <w:t xml:space="preserve">. The dependent variable is </w:t>
      </w:r>
      <w:r w:rsidRPr="00381D63">
        <w:rPr>
          <w:rFonts w:ascii="Times New Roman" w:hAnsi="Times New Roman" w:cs="Times New Roman"/>
          <w:sz w:val="26"/>
          <w:szCs w:val="26"/>
        </w:rPr>
        <w:t>training of Business Education students</w:t>
      </w:r>
      <w:r w:rsidRPr="00381D63">
        <w:rPr>
          <w:rFonts w:ascii="Times New Roman" w:hAnsi="Times New Roman" w:cs="Times New Roman"/>
          <w:color w:val="000000"/>
          <w:sz w:val="26"/>
          <w:szCs w:val="26"/>
        </w:rPr>
        <w:t>. The statistical technique adopted to test this hypothesis is the independent t-test analysis. The result of the analysis is presented in table</w:t>
      </w:r>
    </w:p>
    <w:p w:rsidR="00503B78" w:rsidRPr="00381D63"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bCs/>
          <w:color w:val="000000"/>
          <w:sz w:val="26"/>
          <w:szCs w:val="26"/>
        </w:rPr>
      </w:pPr>
      <w:r w:rsidRPr="00381D63">
        <w:rPr>
          <w:rFonts w:ascii="Times New Roman" w:hAnsi="Times New Roman" w:cs="Times New Roman"/>
          <w:color w:val="000000"/>
          <w:sz w:val="26"/>
          <w:szCs w:val="26"/>
        </w:rPr>
        <w:t xml:space="preserve">T-test statistics analysis of the mean responses of male and female business education students on the influence of  </w:t>
      </w:r>
      <w:r w:rsidRPr="00381D63">
        <w:rPr>
          <w:rFonts w:ascii="Times New Roman" w:hAnsi="Times New Roman" w:cs="Times New Roman"/>
          <w:bCs/>
          <w:color w:val="000000"/>
          <w:sz w:val="26"/>
          <w:szCs w:val="26"/>
        </w:rPr>
        <w:t>Liquid Crystal Display (LCD) and  training of business education students (N= 149).</w:t>
      </w:r>
    </w:p>
    <w:p w:rsidR="00503B78" w:rsidRPr="00381D63" w:rsidRDefault="00503B78" w:rsidP="00503B78">
      <w:pPr>
        <w:shd w:val="clear" w:color="auto" w:fill="FFFFFF"/>
        <w:autoSpaceDE w:val="0"/>
        <w:autoSpaceDN w:val="0"/>
        <w:adjustRightInd w:val="0"/>
        <w:spacing w:after="0" w:line="240" w:lineRule="auto"/>
        <w:ind w:left="990" w:hanging="990"/>
        <w:jc w:val="both"/>
        <w:rPr>
          <w:rFonts w:ascii="Times New Roman" w:hAnsi="Times New Roman" w:cs="Times New Roman"/>
          <w:bCs/>
          <w:color w:val="000000"/>
          <w:sz w:val="26"/>
          <w:szCs w:val="26"/>
        </w:rPr>
      </w:pPr>
    </w:p>
    <w:tbl>
      <w:tblPr>
        <w:tblStyle w:val="TableGrid"/>
        <w:tblW w:w="8910" w:type="dxa"/>
        <w:tblInd w:w="-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85"/>
        <w:gridCol w:w="804"/>
        <w:gridCol w:w="987"/>
        <w:gridCol w:w="896"/>
        <w:gridCol w:w="606"/>
        <w:gridCol w:w="1074"/>
        <w:gridCol w:w="1158"/>
      </w:tblGrid>
      <w:tr w:rsidR="00503B78" w:rsidRPr="00381D63" w:rsidTr="004A2C18">
        <w:tc>
          <w:tcPr>
            <w:tcW w:w="3402"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 xml:space="preserve">Variable </w:t>
            </w:r>
          </w:p>
        </w:tc>
        <w:tc>
          <w:tcPr>
            <w:tcW w:w="807"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N</w:t>
            </w:r>
          </w:p>
        </w:tc>
        <w:tc>
          <w:tcPr>
            <w:tcW w:w="988"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X</w:t>
            </w:r>
          </w:p>
        </w:tc>
        <w:tc>
          <w:tcPr>
            <w:tcW w:w="898"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SD</w:t>
            </w:r>
          </w:p>
        </w:tc>
        <w:tc>
          <w:tcPr>
            <w:tcW w:w="576"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Df</w:t>
            </w:r>
          </w:p>
        </w:tc>
        <w:tc>
          <w:tcPr>
            <w:tcW w:w="1077"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t-cal</w:t>
            </w:r>
          </w:p>
        </w:tc>
        <w:tc>
          <w:tcPr>
            <w:tcW w:w="1162" w:type="dxa"/>
            <w:tcBorders>
              <w:top w:val="single" w:sz="4" w:space="0" w:color="auto"/>
              <w:left w:val="nil"/>
              <w:bottom w:val="single" w:sz="4" w:space="0" w:color="auto"/>
              <w:right w:val="nil"/>
            </w:tcBorders>
          </w:tcPr>
          <w:p w:rsidR="00503B78" w:rsidRPr="00381D63" w:rsidRDefault="00503B78" w:rsidP="004A2C18">
            <w:pPr>
              <w:autoSpaceDE w:val="0"/>
              <w:autoSpaceDN w:val="0"/>
              <w:adjustRightInd w:val="0"/>
              <w:jc w:val="both"/>
              <w:rPr>
                <w:bCs/>
                <w:color w:val="000000"/>
                <w:sz w:val="26"/>
                <w:szCs w:val="26"/>
              </w:rPr>
            </w:pPr>
            <w:r w:rsidRPr="00381D63">
              <w:rPr>
                <w:bCs/>
                <w:color w:val="000000"/>
                <w:sz w:val="26"/>
                <w:szCs w:val="26"/>
              </w:rPr>
              <w:t>t-crit</w:t>
            </w:r>
          </w:p>
        </w:tc>
      </w:tr>
      <w:tr w:rsidR="00503B78" w:rsidRPr="00381D63" w:rsidTr="004A2C18">
        <w:tc>
          <w:tcPr>
            <w:tcW w:w="3402"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Male students</w:t>
            </w:r>
          </w:p>
        </w:tc>
        <w:tc>
          <w:tcPr>
            <w:tcW w:w="807"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54</w:t>
            </w:r>
          </w:p>
        </w:tc>
        <w:tc>
          <w:tcPr>
            <w:tcW w:w="988"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66.53</w:t>
            </w:r>
          </w:p>
        </w:tc>
        <w:tc>
          <w:tcPr>
            <w:tcW w:w="898" w:type="dxa"/>
            <w:tcBorders>
              <w:top w:val="single" w:sz="4" w:space="0" w:color="auto"/>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7.73</w:t>
            </w:r>
          </w:p>
        </w:tc>
        <w:tc>
          <w:tcPr>
            <w:tcW w:w="576"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c>
          <w:tcPr>
            <w:tcW w:w="1077"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c>
          <w:tcPr>
            <w:tcW w:w="1162" w:type="dxa"/>
            <w:tcBorders>
              <w:top w:val="single" w:sz="4" w:space="0" w:color="auto"/>
              <w:left w:val="nil"/>
              <w:bottom w:val="nil"/>
              <w:right w:val="nil"/>
            </w:tcBorders>
          </w:tcPr>
          <w:p w:rsidR="00503B78" w:rsidRPr="00381D63" w:rsidRDefault="00503B78" w:rsidP="004A2C18">
            <w:pPr>
              <w:autoSpaceDE w:val="0"/>
              <w:autoSpaceDN w:val="0"/>
              <w:adjustRightInd w:val="0"/>
              <w:jc w:val="both"/>
              <w:rPr>
                <w:b/>
                <w:color w:val="000000"/>
                <w:sz w:val="26"/>
                <w:szCs w:val="26"/>
              </w:rPr>
            </w:pPr>
          </w:p>
        </w:tc>
      </w:tr>
      <w:tr w:rsidR="00503B78" w:rsidRPr="00381D63" w:rsidTr="004A2C18">
        <w:tc>
          <w:tcPr>
            <w:tcW w:w="3402"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807"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988"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898"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p>
        </w:tc>
        <w:tc>
          <w:tcPr>
            <w:tcW w:w="576"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147</w:t>
            </w:r>
          </w:p>
        </w:tc>
        <w:tc>
          <w:tcPr>
            <w:tcW w:w="1077"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1.99</w:t>
            </w:r>
          </w:p>
        </w:tc>
        <w:tc>
          <w:tcPr>
            <w:tcW w:w="1162" w:type="dxa"/>
            <w:tcBorders>
              <w:top w:val="nil"/>
              <w:left w:val="nil"/>
              <w:bottom w:val="nil"/>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1.96</w:t>
            </w:r>
          </w:p>
        </w:tc>
      </w:tr>
      <w:tr w:rsidR="00503B78" w:rsidRPr="00381D63" w:rsidTr="004A2C18">
        <w:tc>
          <w:tcPr>
            <w:tcW w:w="3402"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bCs/>
                <w:color w:val="000000"/>
                <w:sz w:val="26"/>
                <w:szCs w:val="26"/>
              </w:rPr>
              <w:t>Female students</w:t>
            </w:r>
          </w:p>
        </w:tc>
        <w:tc>
          <w:tcPr>
            <w:tcW w:w="807"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95</w:t>
            </w:r>
          </w:p>
        </w:tc>
        <w:tc>
          <w:tcPr>
            <w:tcW w:w="988"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64.36</w:t>
            </w:r>
          </w:p>
        </w:tc>
        <w:tc>
          <w:tcPr>
            <w:tcW w:w="898" w:type="dxa"/>
            <w:tcBorders>
              <w:top w:val="nil"/>
              <w:left w:val="nil"/>
              <w:bottom w:val="single" w:sz="4" w:space="0" w:color="auto"/>
              <w:right w:val="nil"/>
            </w:tcBorders>
          </w:tcPr>
          <w:p w:rsidR="00503B78" w:rsidRPr="00381D63" w:rsidRDefault="00503B78" w:rsidP="004A2C18">
            <w:pPr>
              <w:autoSpaceDE w:val="0"/>
              <w:autoSpaceDN w:val="0"/>
              <w:adjustRightInd w:val="0"/>
              <w:jc w:val="both"/>
              <w:rPr>
                <w:color w:val="000000"/>
                <w:sz w:val="26"/>
                <w:szCs w:val="26"/>
              </w:rPr>
            </w:pPr>
            <w:r w:rsidRPr="00381D63">
              <w:rPr>
                <w:color w:val="000000"/>
                <w:sz w:val="26"/>
                <w:szCs w:val="26"/>
              </w:rPr>
              <w:t>7.63</w:t>
            </w:r>
          </w:p>
        </w:tc>
        <w:tc>
          <w:tcPr>
            <w:tcW w:w="576"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c>
          <w:tcPr>
            <w:tcW w:w="1077"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c>
          <w:tcPr>
            <w:tcW w:w="1162" w:type="dxa"/>
            <w:tcBorders>
              <w:top w:val="nil"/>
              <w:left w:val="nil"/>
              <w:bottom w:val="single" w:sz="4" w:space="0" w:color="auto"/>
              <w:right w:val="nil"/>
            </w:tcBorders>
          </w:tcPr>
          <w:p w:rsidR="00503B78" w:rsidRPr="00381D63" w:rsidRDefault="00503B78" w:rsidP="004A2C18">
            <w:pPr>
              <w:autoSpaceDE w:val="0"/>
              <w:autoSpaceDN w:val="0"/>
              <w:adjustRightInd w:val="0"/>
              <w:jc w:val="both"/>
              <w:rPr>
                <w:b/>
                <w:color w:val="000000"/>
                <w:sz w:val="26"/>
                <w:szCs w:val="26"/>
              </w:rPr>
            </w:pPr>
          </w:p>
        </w:tc>
      </w:tr>
    </w:tbl>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i/>
          <w:sz w:val="26"/>
          <w:szCs w:val="26"/>
        </w:rPr>
      </w:pPr>
      <w:r w:rsidRPr="00381D63">
        <w:rPr>
          <w:rFonts w:ascii="Times New Roman" w:hAnsi="Times New Roman" w:cs="Times New Roman"/>
          <w:i/>
          <w:color w:val="000000"/>
          <w:sz w:val="26"/>
          <w:szCs w:val="26"/>
        </w:rPr>
        <w:t>P&lt;.05 df = 147 t-crit = 1.96</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bCs/>
          <w:color w:val="000000"/>
          <w:sz w:val="26"/>
          <w:szCs w:val="26"/>
        </w:rPr>
      </w:pPr>
    </w:p>
    <w:p w:rsidR="00503B78" w:rsidRPr="00381D63" w:rsidRDefault="00503B78" w:rsidP="00503B78">
      <w:pPr>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The result of the analysis presented in Table 6 reveals that the calculated t-value of 1.99 is greater than the critical t-value of 1.96 at 0.05 alpha level of significant and 147 degrees of freedom. Following this result the null hypothesis was rejected. This means that there is significant difference between the mean responses of male and female business education students on the impact of Liquid Crystal Display (LCD) on the training of business education students.</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color w:val="000000"/>
          <w:sz w:val="26"/>
          <w:szCs w:val="26"/>
        </w:rPr>
      </w:pP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bCs/>
          <w:color w:val="000000"/>
          <w:sz w:val="26"/>
          <w:szCs w:val="26"/>
        </w:rPr>
      </w:pPr>
      <w:r w:rsidRPr="00381D63">
        <w:rPr>
          <w:rFonts w:ascii="Times New Roman" w:hAnsi="Times New Roman" w:cs="Times New Roman"/>
          <w:b/>
          <w:color w:val="000000"/>
          <w:sz w:val="26"/>
          <w:szCs w:val="26"/>
        </w:rPr>
        <w:t xml:space="preserve"> Findings</w:t>
      </w:r>
    </w:p>
    <w:p w:rsidR="00503B78" w:rsidRPr="00381D63" w:rsidRDefault="00503B78" w:rsidP="00503B78">
      <w:pPr>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xml:space="preserve">The findings of the study revealed that </w:t>
      </w:r>
      <w:r w:rsidRPr="00381D63">
        <w:rPr>
          <w:rFonts w:ascii="Times New Roman" w:hAnsi="Times New Roman" w:cs="Times New Roman"/>
          <w:sz w:val="26"/>
          <w:szCs w:val="26"/>
        </w:rPr>
        <w:t xml:space="preserve">there is significant difference between the mean responses of male and female business education students on the influence of Modern Computers on the training of Business Education students. Analysis of data in respect to research question one also revealed a great extent of influence of Modern Computers on the training of Business Education students. </w:t>
      </w:r>
      <w:r w:rsidRPr="00381D63">
        <w:rPr>
          <w:rFonts w:ascii="Times New Roman" w:hAnsi="Times New Roman" w:cs="Times New Roman"/>
          <w:color w:val="000000"/>
          <w:sz w:val="26"/>
          <w:szCs w:val="26"/>
        </w:rPr>
        <w:t xml:space="preserve">This finding is in line with the earlier finding of </w:t>
      </w:r>
      <w:r w:rsidRPr="00381D63">
        <w:rPr>
          <w:rFonts w:ascii="Times New Roman" w:hAnsi="Times New Roman" w:cs="Times New Roman"/>
          <w:sz w:val="26"/>
          <w:szCs w:val="26"/>
        </w:rPr>
        <w:t xml:space="preserve">Mantiri (2014) that the whole group of students can be simultaneously personalized using modern computers. </w:t>
      </w:r>
      <w:r w:rsidRPr="00381D63">
        <w:rPr>
          <w:rFonts w:ascii="Times New Roman" w:hAnsi="Times New Roman" w:cs="Times New Roman"/>
          <w:color w:val="000000"/>
          <w:sz w:val="26"/>
          <w:szCs w:val="26"/>
        </w:rPr>
        <w:t xml:space="preserve">The finding is also inconsonance with the finding of Abimbade (2013) that Computer helps students to learn at their own pace, produces significant time saving over conventional classroom instruction, allows students’ control over the rate and sequence of their learning, gives appropriate feedback, promotes individualized instruction through personalized responses to learner’s action to yield a high rate of reinforcement, provides a more positive affective climate especially for </w:t>
      </w:r>
      <w:r w:rsidRPr="00381D63">
        <w:rPr>
          <w:rFonts w:ascii="Times New Roman" w:hAnsi="Times New Roman" w:cs="Times New Roman"/>
          <w:color w:val="000000"/>
          <w:sz w:val="26"/>
          <w:szCs w:val="26"/>
        </w:rPr>
        <w:lastRenderedPageBreak/>
        <w:t xml:space="preserve">slower learners,  provides appropriate record-keeping and thereby monitors students’ progress. </w:t>
      </w:r>
    </w:p>
    <w:p w:rsidR="00503B78" w:rsidRPr="00381D63" w:rsidRDefault="00503B78" w:rsidP="00503B78">
      <w:pPr>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xml:space="preserve">The second findings of the study revealed that there is significant difference between the mean responses of male and female business education students on the influence of </w:t>
      </w:r>
      <w:r w:rsidRPr="00381D63">
        <w:rPr>
          <w:rFonts w:ascii="Times New Roman" w:hAnsi="Times New Roman" w:cs="Times New Roman"/>
          <w:bCs/>
          <w:color w:val="000000"/>
          <w:sz w:val="26"/>
          <w:szCs w:val="26"/>
        </w:rPr>
        <w:t>Liquid Crystal Display (LCD) projectors on the training of Business</w:t>
      </w:r>
      <w:r w:rsidRPr="00381D63">
        <w:rPr>
          <w:rFonts w:ascii="Times New Roman" w:hAnsi="Times New Roman" w:cs="Times New Roman"/>
          <w:color w:val="000000"/>
          <w:sz w:val="26"/>
          <w:szCs w:val="26"/>
        </w:rPr>
        <w:t xml:space="preserve"> Education students. Analysis of data in respect to research question two also revealed a great extent of influence of </w:t>
      </w:r>
      <w:r w:rsidRPr="00381D63">
        <w:rPr>
          <w:rFonts w:ascii="Times New Roman" w:hAnsi="Times New Roman" w:cs="Times New Roman"/>
          <w:bCs/>
          <w:color w:val="000000"/>
          <w:sz w:val="26"/>
          <w:szCs w:val="26"/>
        </w:rPr>
        <w:t xml:space="preserve">Liquid Crystal Display (LCD) projectors </w:t>
      </w:r>
      <w:r w:rsidRPr="00381D63">
        <w:rPr>
          <w:rFonts w:ascii="Times New Roman" w:hAnsi="Times New Roman" w:cs="Times New Roman"/>
          <w:color w:val="000000"/>
          <w:sz w:val="26"/>
          <w:szCs w:val="26"/>
        </w:rPr>
        <w:t>on the training of Business Education students.</w:t>
      </w:r>
    </w:p>
    <w:p w:rsidR="00503B78" w:rsidRPr="00381D63" w:rsidRDefault="00503B78" w:rsidP="00503B78">
      <w:pPr>
        <w:spacing w:after="0" w:line="240" w:lineRule="auto"/>
        <w:ind w:firstLine="720"/>
        <w:jc w:val="both"/>
        <w:rPr>
          <w:rFonts w:ascii="Times New Roman" w:hAnsi="Times New Roman" w:cs="Times New Roman"/>
          <w:sz w:val="26"/>
          <w:szCs w:val="26"/>
        </w:rPr>
      </w:pPr>
      <w:r w:rsidRPr="00381D63">
        <w:rPr>
          <w:rFonts w:ascii="Times New Roman" w:hAnsi="Times New Roman" w:cs="Times New Roman"/>
          <w:color w:val="000000"/>
          <w:sz w:val="26"/>
          <w:szCs w:val="26"/>
        </w:rPr>
        <w:t xml:space="preserve">This result aligns with early finding of </w:t>
      </w:r>
      <w:r w:rsidRPr="00381D63">
        <w:rPr>
          <w:rFonts w:ascii="Times New Roman" w:hAnsi="Times New Roman" w:cs="Times New Roman"/>
          <w:sz w:val="26"/>
          <w:szCs w:val="26"/>
        </w:rPr>
        <w:t>Kishore (2023)</w:t>
      </w:r>
      <w:r w:rsidRPr="00381D63">
        <w:rPr>
          <w:rFonts w:ascii="Times New Roman" w:hAnsi="Times New Roman" w:cs="Times New Roman"/>
          <w:color w:val="000000"/>
          <w:sz w:val="26"/>
          <w:szCs w:val="26"/>
        </w:rPr>
        <w:t xml:space="preserve"> who found that </w:t>
      </w:r>
      <w:r w:rsidRPr="00381D63">
        <w:rPr>
          <w:rFonts w:ascii="Times New Roman" w:hAnsi="Times New Roman" w:cs="Times New Roman"/>
          <w:sz w:val="26"/>
          <w:szCs w:val="26"/>
        </w:rPr>
        <w:t>Visual learning stimulates thinking and cognitive ability</w:t>
      </w:r>
      <w:r w:rsidRPr="00381D63">
        <w:rPr>
          <w:rFonts w:ascii="Times New Roman" w:hAnsi="Times New Roman" w:cs="Times New Roman"/>
          <w:color w:val="000000"/>
          <w:sz w:val="26"/>
          <w:szCs w:val="26"/>
        </w:rPr>
        <w:t xml:space="preserve">.  The results also agree with the opinion of </w:t>
      </w:r>
      <w:r w:rsidRPr="00381D63">
        <w:rPr>
          <w:rFonts w:ascii="Times New Roman" w:hAnsi="Times New Roman" w:cs="Times New Roman"/>
          <w:sz w:val="26"/>
          <w:szCs w:val="26"/>
        </w:rPr>
        <w:t>Eze (2013) that human beings learn faster and easily by audio-visual technologies like projectors than by verbal explanation alone. Also in agreement with these findings is the opinion of Oketunjo (2020) who maintained that lessen major weakness of verbalism, humanize and vitalize subject matter, provide interesting approach to new topics and give initial correct impressions, economic time in learning, supply concrete materials needed, stimulate the initiative of the students.</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bCs/>
          <w:color w:val="000000"/>
          <w:sz w:val="26"/>
          <w:szCs w:val="26"/>
        </w:rPr>
      </w:pP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bCs/>
          <w:color w:val="000000"/>
          <w:sz w:val="26"/>
          <w:szCs w:val="26"/>
        </w:rPr>
      </w:pPr>
      <w:r w:rsidRPr="00381D63">
        <w:rPr>
          <w:rFonts w:ascii="Times New Roman" w:hAnsi="Times New Roman" w:cs="Times New Roman"/>
          <w:b/>
          <w:bCs/>
          <w:color w:val="000000"/>
          <w:sz w:val="26"/>
          <w:szCs w:val="26"/>
        </w:rPr>
        <w:t>Conclusion</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color w:val="000000"/>
          <w:sz w:val="26"/>
          <w:szCs w:val="26"/>
        </w:rPr>
      </w:pPr>
      <w:r w:rsidRPr="00381D63">
        <w:rPr>
          <w:rFonts w:ascii="Times New Roman" w:hAnsi="Times New Roman" w:cs="Times New Roman"/>
          <w:color w:val="000000"/>
          <w:sz w:val="26"/>
          <w:szCs w:val="26"/>
        </w:rPr>
        <w:t xml:space="preserve">This study was designed to ascertain the influence of nascent technologies and the training of business education students in tertiary institution in Cross River State. Findings from the study strongly suggested that modern computers, liquid crystal display influence the training of Business Education students. The outcome of this study implies that nascent technologies are essential tools that enable personalized, immersive and interactive learning experience which makes training more efficient and engaging </w:t>
      </w:r>
    </w:p>
    <w:p w:rsidR="00503B78" w:rsidRDefault="00503B78" w:rsidP="00503B78">
      <w:pPr>
        <w:shd w:val="clear" w:color="auto" w:fill="FFFFFF"/>
        <w:autoSpaceDE w:val="0"/>
        <w:autoSpaceDN w:val="0"/>
        <w:adjustRightInd w:val="0"/>
        <w:spacing w:after="0" w:line="240" w:lineRule="auto"/>
        <w:jc w:val="both"/>
        <w:rPr>
          <w:rFonts w:ascii="Times New Roman" w:hAnsi="Times New Roman" w:cs="Times New Roman"/>
          <w:b/>
          <w:color w:val="000000"/>
          <w:sz w:val="26"/>
          <w:szCs w:val="26"/>
        </w:rPr>
      </w:pP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b/>
          <w:color w:val="000000"/>
          <w:sz w:val="26"/>
          <w:szCs w:val="26"/>
        </w:rPr>
      </w:pPr>
      <w:r w:rsidRPr="00381D63">
        <w:rPr>
          <w:rFonts w:ascii="Times New Roman" w:hAnsi="Times New Roman" w:cs="Times New Roman"/>
          <w:b/>
          <w:color w:val="000000"/>
          <w:sz w:val="26"/>
          <w:szCs w:val="26"/>
        </w:rPr>
        <w:t xml:space="preserve">Recommendations </w:t>
      </w:r>
    </w:p>
    <w:p w:rsidR="00503B78" w:rsidRPr="00381D63" w:rsidRDefault="00503B78" w:rsidP="00503B78">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xml:space="preserve">Based on the findings of the study and its implication for the future of educational process in the Nigerian education system, the following recommendations are made: </w:t>
      </w:r>
    </w:p>
    <w:p w:rsidR="00503B78" w:rsidRPr="00381D63" w:rsidRDefault="00503B78" w:rsidP="00503B78">
      <w:pPr>
        <w:pStyle w:val="ListParagraph"/>
        <w:numPr>
          <w:ilvl w:val="0"/>
          <w:numId w:val="19"/>
        </w:numPr>
        <w:shd w:val="clear" w:color="auto" w:fill="FFFFFF"/>
        <w:autoSpaceDE w:val="0"/>
        <w:autoSpaceDN w:val="0"/>
        <w:adjustRightInd w:val="0"/>
        <w:spacing w:before="0" w:beforeAutospacing="0" w:after="0" w:line="240" w:lineRule="auto"/>
        <w:ind w:hanging="540"/>
        <w:jc w:val="both"/>
        <w:rPr>
          <w:rFonts w:ascii="Times New Roman" w:hAnsi="Times New Roman"/>
          <w:color w:val="000000"/>
          <w:sz w:val="26"/>
          <w:szCs w:val="26"/>
        </w:rPr>
      </w:pPr>
      <w:r w:rsidRPr="00381D63">
        <w:rPr>
          <w:rFonts w:ascii="Times New Roman" w:hAnsi="Times New Roman"/>
          <w:color w:val="000000"/>
          <w:sz w:val="26"/>
          <w:szCs w:val="26"/>
        </w:rPr>
        <w:t>Federal government through Ministry of education in collaboration with Nigerian University Commission should ensure that universities offering business education programme are equipped with modern technologies for the training of business education students.</w:t>
      </w:r>
    </w:p>
    <w:p w:rsidR="00503B78" w:rsidRPr="00381D63" w:rsidRDefault="00503B78" w:rsidP="00503B78">
      <w:pPr>
        <w:pStyle w:val="ListParagraph"/>
        <w:numPr>
          <w:ilvl w:val="0"/>
          <w:numId w:val="19"/>
        </w:numPr>
        <w:shd w:val="clear" w:color="auto" w:fill="FFFFFF"/>
        <w:autoSpaceDE w:val="0"/>
        <w:autoSpaceDN w:val="0"/>
        <w:adjustRightInd w:val="0"/>
        <w:spacing w:before="0" w:beforeAutospacing="0" w:after="0" w:line="240" w:lineRule="auto"/>
        <w:ind w:hanging="540"/>
        <w:jc w:val="both"/>
        <w:rPr>
          <w:rFonts w:ascii="Times New Roman" w:hAnsi="Times New Roman"/>
          <w:color w:val="000000"/>
          <w:sz w:val="26"/>
          <w:szCs w:val="26"/>
        </w:rPr>
      </w:pPr>
      <w:r w:rsidRPr="00381D63">
        <w:rPr>
          <w:rFonts w:ascii="Times New Roman" w:hAnsi="Times New Roman"/>
          <w:color w:val="000000"/>
          <w:sz w:val="26"/>
          <w:szCs w:val="26"/>
        </w:rPr>
        <w:t xml:space="preserve">Business education lecturers should be encouraged to display course content for the students using </w:t>
      </w:r>
      <w:r w:rsidRPr="00381D63">
        <w:rPr>
          <w:rFonts w:ascii="Times New Roman" w:hAnsi="Times New Roman"/>
          <w:bCs/>
          <w:color w:val="000000"/>
          <w:sz w:val="26"/>
          <w:szCs w:val="26"/>
        </w:rPr>
        <w:t xml:space="preserve">Liquid Crystal Display (LCD) projectors </w:t>
      </w:r>
      <w:r w:rsidRPr="00381D63">
        <w:rPr>
          <w:rFonts w:ascii="Times New Roman" w:hAnsi="Times New Roman"/>
          <w:color w:val="000000"/>
          <w:sz w:val="26"/>
          <w:szCs w:val="26"/>
        </w:rPr>
        <w:t>for proper assimilation.</w:t>
      </w:r>
    </w:p>
    <w:p w:rsidR="00503B78" w:rsidRPr="00381D63" w:rsidRDefault="00503B78" w:rsidP="00503B78">
      <w:pPr>
        <w:pStyle w:val="ListParagraph"/>
        <w:shd w:val="clear" w:color="auto" w:fill="FFFFFF"/>
        <w:autoSpaceDE w:val="0"/>
        <w:autoSpaceDN w:val="0"/>
        <w:adjustRightInd w:val="0"/>
        <w:spacing w:after="0" w:line="240" w:lineRule="auto"/>
        <w:jc w:val="both"/>
        <w:rPr>
          <w:rFonts w:ascii="Times New Roman" w:hAnsi="Times New Roman"/>
          <w:color w:val="000000"/>
          <w:sz w:val="26"/>
          <w:szCs w:val="26"/>
        </w:rPr>
      </w:pPr>
    </w:p>
    <w:p w:rsidR="00503B78" w:rsidRDefault="00503B78">
      <w:pPr>
        <w:rPr>
          <w:rFonts w:ascii="Times New Roman" w:hAnsi="Times New Roman" w:cs="Times New Roman"/>
          <w:b/>
          <w:sz w:val="26"/>
          <w:szCs w:val="26"/>
        </w:rPr>
      </w:pPr>
      <w:r>
        <w:rPr>
          <w:rFonts w:ascii="Times New Roman" w:hAnsi="Times New Roman" w:cs="Times New Roman"/>
          <w:b/>
          <w:sz w:val="26"/>
          <w:szCs w:val="26"/>
        </w:rPr>
        <w:br w:type="page"/>
      </w:r>
    </w:p>
    <w:p w:rsidR="00503B78" w:rsidRPr="00381D63" w:rsidRDefault="00503B78" w:rsidP="00503B78">
      <w:pPr>
        <w:spacing w:line="240" w:lineRule="auto"/>
        <w:jc w:val="both"/>
        <w:rPr>
          <w:rFonts w:ascii="Times New Roman" w:hAnsi="Times New Roman" w:cs="Times New Roman"/>
          <w:b/>
          <w:sz w:val="26"/>
          <w:szCs w:val="26"/>
        </w:rPr>
      </w:pPr>
      <w:r w:rsidRPr="00381D63">
        <w:rPr>
          <w:rFonts w:ascii="Times New Roman" w:hAnsi="Times New Roman" w:cs="Times New Roman"/>
          <w:b/>
          <w:sz w:val="26"/>
          <w:szCs w:val="26"/>
        </w:rPr>
        <w:lastRenderedPageBreak/>
        <w:t>REFERENCES</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Abimbade, A. (2013). Principles and Practice of Educational Technology. Ibadan: International</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Publishers Ltd. Pp.203.</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Agim, V. U., Ochui, M. O. &amp; Atah, C. A. (2020).Assessment of availability of new technologies in delivery business education content in tertiary institutions in Cross River State.</w:t>
      </w:r>
      <w:r w:rsidRPr="00381D63">
        <w:rPr>
          <w:rFonts w:ascii="Times New Roman" w:hAnsi="Times New Roman" w:cs="Times New Roman"/>
          <w:i/>
          <w:iCs/>
          <w:sz w:val="26"/>
          <w:szCs w:val="26"/>
        </w:rPr>
        <w:t>British International Journal of Education and Social Sciences, 7,</w:t>
      </w:r>
      <w:r w:rsidRPr="00381D63">
        <w:rPr>
          <w:rFonts w:ascii="Times New Roman" w:hAnsi="Times New Roman" w:cs="Times New Roman"/>
          <w:sz w:val="26"/>
          <w:szCs w:val="26"/>
        </w:rPr>
        <w:t>(10), 1-9.</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Akuegwu, B. A., Akeke, M. N. G., Omorobi, G. O., &amp; Uchendu, C. C. (2024). Adopting e-learning technology as a mode of instruction: How prepared are tertiary institutions in Cross River State, Nigeria? J</w:t>
      </w:r>
      <w:r w:rsidRPr="00381D63">
        <w:rPr>
          <w:rFonts w:ascii="Times New Roman" w:hAnsi="Times New Roman" w:cs="Times New Roman"/>
          <w:i/>
          <w:iCs/>
          <w:sz w:val="26"/>
          <w:szCs w:val="26"/>
        </w:rPr>
        <w:t>ournal of Education and E-Learning Research, 11</w:t>
      </w:r>
      <w:r w:rsidRPr="00381D63">
        <w:rPr>
          <w:rFonts w:ascii="Times New Roman" w:hAnsi="Times New Roman" w:cs="Times New Roman"/>
          <w:sz w:val="26"/>
          <w:szCs w:val="26"/>
        </w:rPr>
        <w:t xml:space="preserve">(3), 490–498. </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Eleng, S. N. &amp; Ushie, P. U. (2024).Curriculum reform for requisite skills development among business education students in secondary schools in Abi local government area of Cross River State, Nigeria.</w:t>
      </w:r>
      <w:r w:rsidRPr="00381D63">
        <w:rPr>
          <w:rFonts w:ascii="Times New Roman" w:hAnsi="Times New Roman" w:cs="Times New Roman"/>
          <w:i/>
          <w:iCs/>
          <w:sz w:val="26"/>
          <w:szCs w:val="26"/>
        </w:rPr>
        <w:t>Nigerian Journal of Business Education</w:t>
      </w:r>
      <w:r w:rsidRPr="00381D63">
        <w:rPr>
          <w:rFonts w:ascii="Times New Roman" w:hAnsi="Times New Roman" w:cs="Times New Roman"/>
          <w:sz w:val="26"/>
          <w:szCs w:val="26"/>
        </w:rPr>
        <w:t xml:space="preserve"> (NIGJBED), 11(1), 271-278.</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 xml:space="preserve">Elogbo, E. E. &amp; Akeke, M. N. G. (2019). Extent of utilization of world wide web and e-mail in instructional delivery of business education in federal universities in South-South, Nigeria. </w:t>
      </w:r>
      <w:r w:rsidRPr="00381D63">
        <w:rPr>
          <w:rFonts w:ascii="Times New Roman" w:hAnsi="Times New Roman" w:cs="Times New Roman"/>
          <w:i/>
          <w:iCs/>
          <w:sz w:val="26"/>
          <w:szCs w:val="26"/>
        </w:rPr>
        <w:t>Nigerian Journal of Business Education (NIGJBED), 6</w:t>
      </w:r>
      <w:r w:rsidRPr="00381D63">
        <w:rPr>
          <w:rFonts w:ascii="Times New Roman" w:hAnsi="Times New Roman" w:cs="Times New Roman"/>
          <w:sz w:val="26"/>
          <w:szCs w:val="26"/>
        </w:rPr>
        <w:t>(1), 217-228.</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Eze, U.J. (2013). Knowledge, perception and attitude of Nigerian students to plagiarism: A case</w:t>
      </w:r>
    </w:p>
    <w:p w:rsidR="00503B78" w:rsidRPr="00381D63" w:rsidRDefault="00503B78" w:rsidP="00503B78">
      <w:pPr>
        <w:spacing w:line="240" w:lineRule="auto"/>
        <w:ind w:left="720"/>
        <w:contextualSpacing/>
        <w:jc w:val="both"/>
        <w:rPr>
          <w:rFonts w:ascii="Times New Roman" w:hAnsi="Times New Roman" w:cs="Times New Roman"/>
          <w:sz w:val="26"/>
          <w:szCs w:val="26"/>
        </w:rPr>
      </w:pPr>
      <w:r w:rsidRPr="00381D63">
        <w:rPr>
          <w:rFonts w:ascii="Times New Roman" w:hAnsi="Times New Roman" w:cs="Times New Roman"/>
          <w:sz w:val="26"/>
          <w:szCs w:val="26"/>
        </w:rPr>
        <w:t>study of Bus. Adibub.UNN Enugu Campus.Pp.247.</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FGN (2013).National Policy on Education. Lagos: NERDC Press.</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 xml:space="preserve">Igbongidi, B. P. (2022). The influence of new technologies on the teaching of business education courses in tertiary institutions in Bayelsa State. </w:t>
      </w:r>
      <w:r w:rsidRPr="00381D63">
        <w:rPr>
          <w:rFonts w:ascii="Times New Roman" w:hAnsi="Times New Roman" w:cs="Times New Roman"/>
          <w:i/>
          <w:iCs/>
          <w:sz w:val="26"/>
          <w:szCs w:val="26"/>
        </w:rPr>
        <w:t>International Journal of Development Research, 12,</w:t>
      </w:r>
      <w:r w:rsidRPr="00381D63">
        <w:rPr>
          <w:rFonts w:ascii="Times New Roman" w:hAnsi="Times New Roman" w:cs="Times New Roman"/>
          <w:sz w:val="26"/>
          <w:szCs w:val="26"/>
        </w:rPr>
        <w:t xml:space="preserve"> (10), 59358-59360.</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 xml:space="preserve">Israel, S.O. &amp; Lasun, L. (2016). Influence of new technologies on the teaching of business education courses in tertiary institutions in Kwara State. </w:t>
      </w:r>
      <w:r w:rsidRPr="00381D63">
        <w:rPr>
          <w:rFonts w:ascii="Times New Roman" w:hAnsi="Times New Roman" w:cs="Times New Roman"/>
          <w:i/>
          <w:iCs/>
          <w:sz w:val="26"/>
          <w:szCs w:val="26"/>
        </w:rPr>
        <w:t>Nigerian Journal of Business Education (NIGJBED) Volume 3</w:t>
      </w:r>
      <w:r w:rsidRPr="00381D63">
        <w:rPr>
          <w:rFonts w:ascii="Times New Roman" w:hAnsi="Times New Roman" w:cs="Times New Roman"/>
          <w:sz w:val="26"/>
          <w:szCs w:val="26"/>
        </w:rPr>
        <w:t>(2), 86-93.</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Kishor, N. (2023). Educational Technology. Delhi, MouJpur Publication. Pp.302.</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Mantiri, F. (2014).Multimedia and Technology in learning. Universal Journal of Educational</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Research. 2(9): 589-592.</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t>Oketuji, I. (2020). Application of information Technologies in Nigerian libraries: Problems &amp;</w:t>
      </w:r>
    </w:p>
    <w:p w:rsidR="00503B78" w:rsidRPr="00381D63" w:rsidRDefault="00503B78" w:rsidP="00503B78">
      <w:pPr>
        <w:spacing w:after="0" w:line="240" w:lineRule="auto"/>
        <w:ind w:left="720"/>
        <w:contextualSpacing/>
        <w:jc w:val="both"/>
        <w:rPr>
          <w:rFonts w:ascii="Times New Roman" w:hAnsi="Times New Roman" w:cs="Times New Roman"/>
          <w:sz w:val="26"/>
          <w:szCs w:val="26"/>
        </w:rPr>
      </w:pPr>
      <w:r w:rsidRPr="00381D63">
        <w:rPr>
          <w:rFonts w:ascii="Times New Roman" w:hAnsi="Times New Roman" w:cs="Times New Roman"/>
          <w:sz w:val="26"/>
          <w:szCs w:val="26"/>
        </w:rPr>
        <w:t>Prospects In I. K: Awalo (ed): Information Science Education</w:t>
      </w:r>
    </w:p>
    <w:p w:rsidR="00503B78" w:rsidRPr="00381D63" w:rsidRDefault="00503B78" w:rsidP="00503B78">
      <w:pPr>
        <w:pStyle w:val="Default"/>
        <w:ind w:left="720" w:hanging="720"/>
        <w:jc w:val="both"/>
        <w:rPr>
          <w:color w:val="000000" w:themeColor="text1"/>
          <w:sz w:val="26"/>
          <w:szCs w:val="26"/>
        </w:rPr>
      </w:pPr>
      <w:r w:rsidRPr="00381D63">
        <w:rPr>
          <w:color w:val="000000" w:themeColor="text1"/>
          <w:sz w:val="26"/>
          <w:szCs w:val="26"/>
        </w:rPr>
        <w:t xml:space="preserve">Valmi, D. S., Martha, D. &amp; Isabel, A. C. M. (2017). An overview of research designs relevant to nursing: Part 1: Quantitative research designs. </w:t>
      </w:r>
      <w:r w:rsidRPr="00381D63">
        <w:rPr>
          <w:i/>
          <w:iCs/>
          <w:color w:val="000000" w:themeColor="text1"/>
          <w:sz w:val="26"/>
          <w:szCs w:val="26"/>
        </w:rPr>
        <w:t>Latino-Am. Enfermagem,15</w:t>
      </w:r>
      <w:r w:rsidRPr="00381D63">
        <w:rPr>
          <w:color w:val="000000" w:themeColor="text1"/>
          <w:sz w:val="26"/>
          <w:szCs w:val="26"/>
        </w:rPr>
        <w:t>(3),91-104.</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r w:rsidRPr="00381D63">
        <w:rPr>
          <w:rFonts w:ascii="Times New Roman" w:hAnsi="Times New Roman" w:cs="Times New Roman"/>
          <w:sz w:val="26"/>
          <w:szCs w:val="26"/>
        </w:rPr>
        <w:lastRenderedPageBreak/>
        <w:t>Williams, I. P. (2019).Land Administration and cadastral trends. Technical papers of N/FIG</w:t>
      </w:r>
    </w:p>
    <w:p w:rsidR="00503B78" w:rsidRPr="00381D63" w:rsidRDefault="00503B78" w:rsidP="00503B78">
      <w:pPr>
        <w:spacing w:line="240" w:lineRule="auto"/>
        <w:ind w:left="720"/>
        <w:contextualSpacing/>
        <w:jc w:val="both"/>
        <w:rPr>
          <w:rFonts w:ascii="Times New Roman" w:hAnsi="Times New Roman" w:cs="Times New Roman"/>
          <w:sz w:val="26"/>
          <w:szCs w:val="26"/>
        </w:rPr>
      </w:pPr>
      <w:r w:rsidRPr="00381D63">
        <w:rPr>
          <w:rFonts w:ascii="Times New Roman" w:hAnsi="Times New Roman" w:cs="Times New Roman"/>
          <w:sz w:val="26"/>
          <w:szCs w:val="26"/>
        </w:rPr>
        <w:t>Conference on Land Tenure and Cadastral infrastructures for sustainable development.</w:t>
      </w:r>
    </w:p>
    <w:p w:rsidR="00503B78" w:rsidRPr="00381D63" w:rsidRDefault="00503B78" w:rsidP="00503B78">
      <w:pPr>
        <w:spacing w:line="240" w:lineRule="auto"/>
        <w:ind w:left="720"/>
        <w:contextualSpacing/>
        <w:jc w:val="both"/>
        <w:rPr>
          <w:rFonts w:ascii="Times New Roman" w:hAnsi="Times New Roman" w:cs="Times New Roman"/>
          <w:sz w:val="26"/>
          <w:szCs w:val="26"/>
        </w:rPr>
      </w:pPr>
      <w:r w:rsidRPr="00381D63">
        <w:rPr>
          <w:rFonts w:ascii="Times New Roman" w:hAnsi="Times New Roman" w:cs="Times New Roman"/>
          <w:sz w:val="26"/>
          <w:szCs w:val="26"/>
        </w:rPr>
        <w:t>Pp. 317-388.</w:t>
      </w:r>
    </w:p>
    <w:p w:rsidR="00503B78" w:rsidRPr="00381D63" w:rsidRDefault="00503B78" w:rsidP="00503B78">
      <w:pPr>
        <w:spacing w:line="240" w:lineRule="auto"/>
        <w:ind w:left="720" w:hanging="720"/>
        <w:contextualSpacing/>
        <w:jc w:val="both"/>
        <w:rPr>
          <w:rFonts w:ascii="Times New Roman" w:hAnsi="Times New Roman" w:cs="Times New Roman"/>
          <w:sz w:val="26"/>
          <w:szCs w:val="26"/>
        </w:rPr>
      </w:pPr>
    </w:p>
    <w:p w:rsidR="00503B78" w:rsidRPr="00381D63" w:rsidRDefault="00503B78" w:rsidP="00503B78">
      <w:pPr>
        <w:spacing w:line="240" w:lineRule="auto"/>
        <w:contextualSpacing/>
        <w:jc w:val="both"/>
        <w:rPr>
          <w:rFonts w:ascii="Times New Roman" w:hAnsi="Times New Roman" w:cs="Times New Roman"/>
          <w:sz w:val="26"/>
          <w:szCs w:val="26"/>
        </w:rPr>
      </w:pPr>
    </w:p>
    <w:p w:rsidR="00503B78" w:rsidRPr="00381D63" w:rsidRDefault="00503B78" w:rsidP="00503B78">
      <w:pPr>
        <w:pStyle w:val="Default"/>
        <w:ind w:left="720" w:hanging="720"/>
        <w:jc w:val="both"/>
        <w:rPr>
          <w:color w:val="000000" w:themeColor="text1"/>
          <w:sz w:val="26"/>
          <w:szCs w:val="26"/>
        </w:rPr>
      </w:pPr>
    </w:p>
    <w:p w:rsidR="005D48B0" w:rsidRPr="00210BD3" w:rsidRDefault="005D48B0" w:rsidP="00965216">
      <w:pPr>
        <w:tabs>
          <w:tab w:val="left" w:pos="90"/>
        </w:tabs>
        <w:spacing w:line="240" w:lineRule="auto"/>
        <w:ind w:left="720" w:hanging="720"/>
        <w:rPr>
          <w:rFonts w:ascii="Times New Roman" w:hAnsi="Times New Roman" w:cs="Times New Roman"/>
          <w:sz w:val="26"/>
          <w:szCs w:val="26"/>
        </w:rPr>
      </w:pPr>
    </w:p>
    <w:sectPr w:rsidR="005D48B0" w:rsidRPr="00210BD3" w:rsidSect="00210BD3">
      <w:type w:val="continuous"/>
      <w:pgSz w:w="12240" w:h="15840"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14C" w:rsidRDefault="0084414C" w:rsidP="00210BD3">
      <w:pPr>
        <w:spacing w:after="0" w:line="240" w:lineRule="auto"/>
      </w:pPr>
      <w:r>
        <w:separator/>
      </w:r>
    </w:p>
  </w:endnote>
  <w:endnote w:type="continuationSeparator" w:id="1">
    <w:p w:rsidR="0084414C" w:rsidRDefault="0084414C" w:rsidP="00210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Device Font 10cpi"/>
    <w:panose1 w:val="02070309020205020404"/>
    <w:charset w:val="00"/>
    <w:family w:val="modern"/>
    <w:pitch w:val="fixed"/>
    <w:sig w:usb0="00000000"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ungsuh">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18" w:rsidRDefault="004A2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083163"/>
      <w:docPartObj>
        <w:docPartGallery w:val="Page Numbers (Bottom of Page)"/>
        <w:docPartUnique/>
      </w:docPartObj>
    </w:sdtPr>
    <w:sdtEndPr>
      <w:rPr>
        <w:color w:val="808080" w:themeColor="background1" w:themeShade="80"/>
        <w:spacing w:val="60"/>
      </w:rPr>
    </w:sdtEndPr>
    <w:sdtContent>
      <w:p w:rsidR="004A2C18" w:rsidRDefault="004A2C18">
        <w:pPr>
          <w:pStyle w:val="Footer"/>
          <w:pBdr>
            <w:top w:val="single" w:sz="4" w:space="1" w:color="D9D9D9" w:themeColor="background1" w:themeShade="D9"/>
          </w:pBdr>
          <w:jc w:val="right"/>
        </w:pPr>
        <w:fldSimple w:instr=" PAGE   \* MERGEFORMAT ">
          <w:r w:rsidR="00CE2CBB">
            <w:rPr>
              <w:noProof/>
            </w:rPr>
            <w:t>viii</w:t>
          </w:r>
        </w:fldSimple>
        <w:r>
          <w:t xml:space="preserve"> | </w:t>
        </w:r>
        <w:r>
          <w:rPr>
            <w:color w:val="808080" w:themeColor="background1" w:themeShade="80"/>
            <w:spacing w:val="60"/>
          </w:rPr>
          <w:t>Page</w:t>
        </w:r>
      </w:p>
    </w:sdtContent>
  </w:sdt>
  <w:p w:rsidR="004A2C18" w:rsidRPr="004D3253" w:rsidRDefault="004A2C18" w:rsidP="004D32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18" w:rsidRDefault="004A2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14C" w:rsidRDefault="0084414C" w:rsidP="00210BD3">
      <w:pPr>
        <w:spacing w:after="0" w:line="240" w:lineRule="auto"/>
      </w:pPr>
      <w:r>
        <w:separator/>
      </w:r>
    </w:p>
  </w:footnote>
  <w:footnote w:type="continuationSeparator" w:id="1">
    <w:p w:rsidR="0084414C" w:rsidRDefault="0084414C" w:rsidP="00210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18" w:rsidRDefault="004A2C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18" w:rsidRPr="00210BD3" w:rsidRDefault="004A2C18" w:rsidP="002614B2">
    <w:pPr>
      <w:spacing w:after="0" w:line="240" w:lineRule="auto"/>
      <w:ind w:left="426"/>
      <w:jc w:val="right"/>
      <w:rPr>
        <w:rFonts w:ascii="Times New Roman" w:hAnsi="Times New Roman" w:cs="Times New Roman"/>
        <w:i/>
        <w:sz w:val="24"/>
        <w:szCs w:val="24"/>
      </w:rPr>
    </w:pPr>
    <w:r w:rsidRPr="00210BD3">
      <w:rPr>
        <w:rFonts w:ascii="Times New Roman" w:hAnsi="Times New Roman" w:cs="Times New Roman"/>
        <w:i/>
        <w:sz w:val="24"/>
        <w:szCs w:val="24"/>
      </w:rPr>
      <w:t>IJOVED November 2023, Vol. 13, No. 1</w:t>
    </w:r>
  </w:p>
  <w:p w:rsidR="004A2C18" w:rsidRDefault="004A2C18" w:rsidP="00A75037">
    <w:pPr>
      <w:pStyle w:val="Header"/>
      <w:tabs>
        <w:tab w:val="clear" w:pos="9026"/>
        <w:tab w:val="right" w:pos="8820"/>
      </w:tabs>
    </w:pPr>
    <w:r w:rsidRPr="00330E99">
      <w:rPr>
        <w:noProof/>
      </w:rPr>
      <w:pict>
        <v:line id="Straight Connector 8" o:spid="_x0000_s4097" style="position:absolute;z-index:251659264;visibility:visible" from="-8.55pt,5.3pt" to="456.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" strokecolor="black [304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18" w:rsidRDefault="004A2C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0C0E8F"/>
    <w:multiLevelType w:val="singleLevel"/>
    <w:tmpl w:val="9A0C0E8F"/>
    <w:lvl w:ilvl="0">
      <w:start w:val="1"/>
      <w:numFmt w:val="decimal"/>
      <w:suff w:val="space"/>
      <w:lvlText w:val="%1."/>
      <w:lvlJc w:val="left"/>
    </w:lvl>
  </w:abstractNum>
  <w:abstractNum w:abstractNumId="1">
    <w:nsid w:val="01F83DBA"/>
    <w:multiLevelType w:val="multilevel"/>
    <w:tmpl w:val="931051E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rPr>
        <w:rFonts w:ascii="Times New Roman" w:hAnsi="Times New Roman" w:cs="Times New Roman" w:hint="default"/>
        <w:sz w:val="24"/>
        <w:szCs w:val="24"/>
      </w:rPr>
    </w:lvl>
    <w:lvl w:ilvl="3">
      <w:start w:val="1"/>
      <w:numFmt w:val="decimal"/>
      <w:lvlText w:val="%4."/>
      <w:lvlJc w:val="left"/>
      <w:pPr>
        <w:tabs>
          <w:tab w:val="num" w:pos="2517"/>
        </w:tabs>
        <w:ind w:left="2880" w:hanging="360"/>
      </w:pPr>
      <w:rPr>
        <w:rFonts w:ascii="Times New Roman" w:hAnsi="Times New Roman" w:cs="Times New Roman" w:hint="default"/>
        <w:sz w:val="24"/>
        <w:szCs w:val="24"/>
      </w:rPr>
    </w:lvl>
    <w:lvl w:ilvl="4">
      <w:start w:val="1"/>
      <w:numFmt w:val="decimal"/>
      <w:lvlText w:val="%5."/>
      <w:lvlJc w:val="left"/>
      <w:pPr>
        <w:tabs>
          <w:tab w:val="num" w:pos="3238"/>
        </w:tabs>
        <w:ind w:left="3600" w:hanging="360"/>
      </w:pPr>
      <w:rPr>
        <w:rFonts w:ascii="Times New Roman" w:hAnsi="Times New Roman" w:cs="Times New Roman" w:hint="default"/>
        <w:sz w:val="24"/>
        <w:szCs w:val="24"/>
      </w:rPr>
    </w:lvl>
    <w:lvl w:ilvl="5">
      <w:start w:val="1"/>
      <w:numFmt w:val="decimal"/>
      <w:lvlText w:val="%6."/>
      <w:lvlJc w:val="left"/>
      <w:pPr>
        <w:tabs>
          <w:tab w:val="num" w:pos="3958"/>
        </w:tabs>
        <w:ind w:left="4320" w:hanging="360"/>
      </w:pPr>
      <w:rPr>
        <w:rFonts w:ascii="Times New Roman" w:hAnsi="Times New Roman" w:cs="Times New Roman" w:hint="default"/>
        <w:sz w:val="24"/>
        <w:szCs w:val="24"/>
      </w:rPr>
    </w:lvl>
    <w:lvl w:ilvl="6">
      <w:start w:val="1"/>
      <w:numFmt w:val="decimal"/>
      <w:lvlText w:val="%7."/>
      <w:lvlJc w:val="left"/>
      <w:pPr>
        <w:tabs>
          <w:tab w:val="num" w:pos="4678"/>
        </w:tabs>
        <w:ind w:left="5040" w:hanging="360"/>
      </w:pPr>
      <w:rPr>
        <w:rFonts w:ascii="Times New Roman" w:hAnsi="Times New Roman" w:cs="Times New Roman" w:hint="default"/>
        <w:sz w:val="24"/>
        <w:szCs w:val="24"/>
      </w:rPr>
    </w:lvl>
    <w:lvl w:ilvl="7">
      <w:start w:val="1"/>
      <w:numFmt w:val="decimal"/>
      <w:lvlText w:val="%8."/>
      <w:lvlJc w:val="left"/>
      <w:pPr>
        <w:tabs>
          <w:tab w:val="num" w:pos="5398"/>
        </w:tabs>
        <w:ind w:left="5760" w:hanging="360"/>
      </w:pPr>
      <w:rPr>
        <w:rFonts w:ascii="Times New Roman" w:hAnsi="Times New Roman" w:cs="Times New Roman" w:hint="default"/>
        <w:sz w:val="24"/>
        <w:szCs w:val="24"/>
      </w:rPr>
    </w:lvl>
    <w:lvl w:ilvl="8">
      <w:start w:val="1"/>
      <w:numFmt w:val="decimal"/>
      <w:lvlText w:val="%9."/>
      <w:lvlJc w:val="left"/>
      <w:pPr>
        <w:tabs>
          <w:tab w:val="num" w:pos="6118"/>
        </w:tabs>
        <w:ind w:left="6480" w:hanging="360"/>
      </w:pPr>
      <w:rPr>
        <w:rFonts w:ascii="Times New Roman" w:hAnsi="Times New Roman" w:cs="Times New Roman" w:hint="default"/>
        <w:sz w:val="24"/>
        <w:szCs w:val="24"/>
      </w:rPr>
    </w:lvl>
  </w:abstractNum>
  <w:abstractNum w:abstractNumId="2">
    <w:nsid w:val="07877225"/>
    <w:multiLevelType w:val="multilevel"/>
    <w:tmpl w:val="078772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0027D2"/>
    <w:multiLevelType w:val="multilevel"/>
    <w:tmpl w:val="B0F65444"/>
    <w:lvl w:ilvl="0">
      <w:start w:val="1"/>
      <w:numFmt w:val="decimal"/>
      <w:lvlText w:val="%1."/>
      <w:lvlJc w:val="left"/>
      <w:pPr>
        <w:ind w:left="810" w:hanging="45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14511A62"/>
    <w:multiLevelType w:val="multilevel"/>
    <w:tmpl w:val="94D2AE0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rPr>
        <w:rFonts w:ascii="Times New Roman" w:hAnsi="Times New Roman" w:cs="Times New Roman" w:hint="default"/>
        <w:sz w:val="24"/>
        <w:szCs w:val="24"/>
      </w:rPr>
    </w:lvl>
    <w:lvl w:ilvl="3">
      <w:start w:val="1"/>
      <w:numFmt w:val="decimal"/>
      <w:lvlText w:val="%4."/>
      <w:lvlJc w:val="left"/>
      <w:pPr>
        <w:tabs>
          <w:tab w:val="num" w:pos="2517"/>
        </w:tabs>
        <w:ind w:left="2880" w:hanging="360"/>
      </w:pPr>
      <w:rPr>
        <w:rFonts w:ascii="Times New Roman" w:hAnsi="Times New Roman" w:cs="Times New Roman" w:hint="default"/>
        <w:sz w:val="24"/>
        <w:szCs w:val="24"/>
      </w:rPr>
    </w:lvl>
    <w:lvl w:ilvl="4">
      <w:start w:val="1"/>
      <w:numFmt w:val="decimal"/>
      <w:lvlText w:val="%5."/>
      <w:lvlJc w:val="left"/>
      <w:pPr>
        <w:tabs>
          <w:tab w:val="num" w:pos="3238"/>
        </w:tabs>
        <w:ind w:left="3600" w:hanging="360"/>
      </w:pPr>
      <w:rPr>
        <w:rFonts w:ascii="Times New Roman" w:hAnsi="Times New Roman" w:cs="Times New Roman" w:hint="default"/>
        <w:sz w:val="24"/>
        <w:szCs w:val="24"/>
      </w:rPr>
    </w:lvl>
    <w:lvl w:ilvl="5">
      <w:start w:val="1"/>
      <w:numFmt w:val="decimal"/>
      <w:lvlText w:val="%6."/>
      <w:lvlJc w:val="left"/>
      <w:pPr>
        <w:tabs>
          <w:tab w:val="num" w:pos="3958"/>
        </w:tabs>
        <w:ind w:left="4320" w:hanging="360"/>
      </w:pPr>
      <w:rPr>
        <w:rFonts w:ascii="Times New Roman" w:hAnsi="Times New Roman" w:cs="Times New Roman" w:hint="default"/>
        <w:sz w:val="24"/>
        <w:szCs w:val="24"/>
      </w:rPr>
    </w:lvl>
    <w:lvl w:ilvl="6">
      <w:start w:val="1"/>
      <w:numFmt w:val="decimal"/>
      <w:lvlText w:val="%7."/>
      <w:lvlJc w:val="left"/>
      <w:pPr>
        <w:tabs>
          <w:tab w:val="num" w:pos="4678"/>
        </w:tabs>
        <w:ind w:left="5040" w:hanging="360"/>
      </w:pPr>
      <w:rPr>
        <w:rFonts w:ascii="Times New Roman" w:hAnsi="Times New Roman" w:cs="Times New Roman" w:hint="default"/>
        <w:sz w:val="24"/>
        <w:szCs w:val="24"/>
      </w:rPr>
    </w:lvl>
    <w:lvl w:ilvl="7">
      <w:start w:val="1"/>
      <w:numFmt w:val="decimal"/>
      <w:lvlText w:val="%8."/>
      <w:lvlJc w:val="left"/>
      <w:pPr>
        <w:tabs>
          <w:tab w:val="num" w:pos="5398"/>
        </w:tabs>
        <w:ind w:left="5760" w:hanging="360"/>
      </w:pPr>
      <w:rPr>
        <w:rFonts w:ascii="Times New Roman" w:hAnsi="Times New Roman" w:cs="Times New Roman" w:hint="default"/>
        <w:sz w:val="24"/>
        <w:szCs w:val="24"/>
      </w:rPr>
    </w:lvl>
    <w:lvl w:ilvl="8">
      <w:start w:val="1"/>
      <w:numFmt w:val="decimal"/>
      <w:lvlText w:val="%9."/>
      <w:lvlJc w:val="left"/>
      <w:pPr>
        <w:tabs>
          <w:tab w:val="num" w:pos="6118"/>
        </w:tabs>
        <w:ind w:left="6480" w:hanging="360"/>
      </w:pPr>
      <w:rPr>
        <w:rFonts w:ascii="Times New Roman" w:hAnsi="Times New Roman" w:cs="Times New Roman" w:hint="default"/>
        <w:sz w:val="24"/>
        <w:szCs w:val="24"/>
      </w:rPr>
    </w:lvl>
  </w:abstractNum>
  <w:abstractNum w:abstractNumId="5">
    <w:nsid w:val="176B2933"/>
    <w:multiLevelType w:val="multilevel"/>
    <w:tmpl w:val="4C84FBD0"/>
    <w:lvl w:ilvl="0">
      <w:start w:val="1"/>
      <w:numFmt w:val="decimal"/>
      <w:lvlText w:val="%1."/>
      <w:lvlJc w:val="left"/>
      <w:pPr>
        <w:ind w:left="3420" w:hanging="720"/>
      </w:pPr>
      <w:rPr>
        <w:rFonts w:ascii="Times New Roman" w:eastAsia="Calibri" w:hAnsi="Times New Roman" w:cs="Times New Roman" w:hint="default"/>
      </w:rPr>
    </w:lvl>
    <w:lvl w:ilvl="1">
      <w:start w:val="1"/>
      <w:numFmt w:val="lowerLetter"/>
      <w:lvlText w:val="%2."/>
      <w:lvlJc w:val="left"/>
      <w:pPr>
        <w:ind w:left="3780" w:hanging="360"/>
      </w:pPr>
      <w:rPr>
        <w:rFonts w:ascii="Times New Roman" w:hAnsi="Times New Roman" w:cs="Times New Roman" w:hint="default"/>
      </w:rPr>
    </w:lvl>
    <w:lvl w:ilvl="2">
      <w:start w:val="1"/>
      <w:numFmt w:val="lowerRoman"/>
      <w:lvlText w:val="%3."/>
      <w:lvlJc w:val="right"/>
      <w:pPr>
        <w:ind w:left="4500" w:hanging="180"/>
      </w:pPr>
      <w:rPr>
        <w:rFonts w:ascii="Times New Roman" w:hAnsi="Times New Roman" w:cs="Times New Roman" w:hint="default"/>
      </w:rPr>
    </w:lvl>
    <w:lvl w:ilvl="3">
      <w:start w:val="1"/>
      <w:numFmt w:val="decimal"/>
      <w:lvlText w:val="%4."/>
      <w:lvlJc w:val="left"/>
      <w:pPr>
        <w:ind w:left="5220" w:hanging="360"/>
      </w:pPr>
      <w:rPr>
        <w:rFonts w:ascii="Times New Roman" w:hAnsi="Times New Roman" w:cs="Times New Roman" w:hint="default"/>
      </w:rPr>
    </w:lvl>
    <w:lvl w:ilvl="4">
      <w:start w:val="1"/>
      <w:numFmt w:val="lowerLetter"/>
      <w:lvlText w:val="%5."/>
      <w:lvlJc w:val="left"/>
      <w:pPr>
        <w:ind w:left="5940" w:hanging="360"/>
      </w:pPr>
      <w:rPr>
        <w:rFonts w:ascii="Times New Roman" w:hAnsi="Times New Roman" w:cs="Times New Roman" w:hint="default"/>
      </w:rPr>
    </w:lvl>
    <w:lvl w:ilvl="5">
      <w:start w:val="1"/>
      <w:numFmt w:val="lowerRoman"/>
      <w:lvlText w:val="%6."/>
      <w:lvlJc w:val="right"/>
      <w:pPr>
        <w:ind w:left="6660" w:hanging="180"/>
      </w:pPr>
      <w:rPr>
        <w:rFonts w:ascii="Times New Roman" w:hAnsi="Times New Roman" w:cs="Times New Roman" w:hint="default"/>
      </w:rPr>
    </w:lvl>
    <w:lvl w:ilvl="6">
      <w:start w:val="1"/>
      <w:numFmt w:val="decimal"/>
      <w:lvlText w:val="%7."/>
      <w:lvlJc w:val="left"/>
      <w:pPr>
        <w:ind w:left="7380" w:hanging="360"/>
      </w:pPr>
      <w:rPr>
        <w:rFonts w:ascii="Times New Roman" w:hAnsi="Times New Roman" w:cs="Times New Roman" w:hint="default"/>
      </w:rPr>
    </w:lvl>
    <w:lvl w:ilvl="7">
      <w:start w:val="1"/>
      <w:numFmt w:val="lowerLetter"/>
      <w:lvlText w:val="%8."/>
      <w:lvlJc w:val="left"/>
      <w:pPr>
        <w:ind w:left="8100" w:hanging="360"/>
      </w:pPr>
      <w:rPr>
        <w:rFonts w:ascii="Times New Roman" w:hAnsi="Times New Roman" w:cs="Times New Roman" w:hint="default"/>
      </w:rPr>
    </w:lvl>
    <w:lvl w:ilvl="8">
      <w:start w:val="1"/>
      <w:numFmt w:val="lowerRoman"/>
      <w:lvlText w:val="%9."/>
      <w:lvlJc w:val="right"/>
      <w:pPr>
        <w:ind w:left="8820" w:hanging="180"/>
      </w:pPr>
      <w:rPr>
        <w:rFonts w:ascii="Times New Roman" w:hAnsi="Times New Roman" w:cs="Times New Roman" w:hint="default"/>
      </w:rPr>
    </w:lvl>
  </w:abstractNum>
  <w:abstractNum w:abstractNumId="6">
    <w:nsid w:val="32AC1B46"/>
    <w:multiLevelType w:val="multilevel"/>
    <w:tmpl w:val="32AC1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DC54C5"/>
    <w:multiLevelType w:val="multilevel"/>
    <w:tmpl w:val="938CCBF2"/>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CD5002"/>
    <w:multiLevelType w:val="multilevel"/>
    <w:tmpl w:val="DACC697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4066C"/>
    <w:multiLevelType w:val="multilevel"/>
    <w:tmpl w:val="5C323EB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B30DE"/>
    <w:multiLevelType w:val="multilevel"/>
    <w:tmpl w:val="812CFF5E"/>
    <w:lvl w:ilvl="0">
      <w:start w:val="1"/>
      <w:numFmt w:val="decimal"/>
      <w:lvlText w:val="%1."/>
      <w:lvlJc w:val="left"/>
      <w:pPr>
        <w:ind w:left="1080" w:hanging="720"/>
      </w:pPr>
      <w:rPr>
        <w:rFonts w:ascii="Times New Roman" w:eastAsia="SimSun"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46B371C0"/>
    <w:multiLevelType w:val="multilevel"/>
    <w:tmpl w:val="46B37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A9665A"/>
    <w:multiLevelType w:val="hybridMultilevel"/>
    <w:tmpl w:val="1BD2D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770E7"/>
    <w:multiLevelType w:val="multilevel"/>
    <w:tmpl w:val="9FFE6EC2"/>
    <w:lvl w:ilvl="0">
      <w:start w:val="1"/>
      <w:numFmt w:val="decimal"/>
      <w:lvlText w:val="%1."/>
      <w:lvlJc w:val="left"/>
      <w:pPr>
        <w:ind w:left="1080" w:hanging="72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5A274999"/>
    <w:multiLevelType w:val="hybridMultilevel"/>
    <w:tmpl w:val="1D62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01B95"/>
    <w:multiLevelType w:val="multilevel"/>
    <w:tmpl w:val="0A4EB5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B86391"/>
    <w:multiLevelType w:val="hybridMultilevel"/>
    <w:tmpl w:val="36BE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35AC8"/>
    <w:multiLevelType w:val="hybridMultilevel"/>
    <w:tmpl w:val="A268E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91622"/>
    <w:multiLevelType w:val="multilevel"/>
    <w:tmpl w:val="7C2916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12"/>
  </w:num>
  <w:num w:numId="8">
    <w:abstractNumId w:val="1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9"/>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2250C6"/>
    <w:rsid w:val="00010471"/>
    <w:rsid w:val="00015EFA"/>
    <w:rsid w:val="00041476"/>
    <w:rsid w:val="00042C2C"/>
    <w:rsid w:val="00085934"/>
    <w:rsid w:val="00086A60"/>
    <w:rsid w:val="000A6286"/>
    <w:rsid w:val="000A6BFC"/>
    <w:rsid w:val="000B2226"/>
    <w:rsid w:val="000B3B14"/>
    <w:rsid w:val="000B7093"/>
    <w:rsid w:val="000E4823"/>
    <w:rsid w:val="000F0E8D"/>
    <w:rsid w:val="000F618C"/>
    <w:rsid w:val="00111CF9"/>
    <w:rsid w:val="00116CB3"/>
    <w:rsid w:val="00120BEE"/>
    <w:rsid w:val="00125DCE"/>
    <w:rsid w:val="001312DE"/>
    <w:rsid w:val="00156FB0"/>
    <w:rsid w:val="00160917"/>
    <w:rsid w:val="0017135E"/>
    <w:rsid w:val="00173274"/>
    <w:rsid w:val="00176E18"/>
    <w:rsid w:val="00180B98"/>
    <w:rsid w:val="00185426"/>
    <w:rsid w:val="00196774"/>
    <w:rsid w:val="001C2DC9"/>
    <w:rsid w:val="001D3279"/>
    <w:rsid w:val="001D3A64"/>
    <w:rsid w:val="00205A88"/>
    <w:rsid w:val="00210BD3"/>
    <w:rsid w:val="0021744E"/>
    <w:rsid w:val="00221A3E"/>
    <w:rsid w:val="002250C6"/>
    <w:rsid w:val="00231B63"/>
    <w:rsid w:val="00235A02"/>
    <w:rsid w:val="00246751"/>
    <w:rsid w:val="002614B2"/>
    <w:rsid w:val="00285A34"/>
    <w:rsid w:val="00285CD7"/>
    <w:rsid w:val="00291099"/>
    <w:rsid w:val="002A5AD8"/>
    <w:rsid w:val="002B4039"/>
    <w:rsid w:val="002C1F9D"/>
    <w:rsid w:val="002C587E"/>
    <w:rsid w:val="00302C64"/>
    <w:rsid w:val="003047FE"/>
    <w:rsid w:val="003139A4"/>
    <w:rsid w:val="00313AED"/>
    <w:rsid w:val="00313FDA"/>
    <w:rsid w:val="0032438F"/>
    <w:rsid w:val="00330E99"/>
    <w:rsid w:val="00331FCE"/>
    <w:rsid w:val="00332417"/>
    <w:rsid w:val="00333549"/>
    <w:rsid w:val="0033387E"/>
    <w:rsid w:val="003338EE"/>
    <w:rsid w:val="00335D78"/>
    <w:rsid w:val="00354C44"/>
    <w:rsid w:val="00372A53"/>
    <w:rsid w:val="003847BE"/>
    <w:rsid w:val="00391D96"/>
    <w:rsid w:val="003B48AE"/>
    <w:rsid w:val="003D7D80"/>
    <w:rsid w:val="00405178"/>
    <w:rsid w:val="00416F15"/>
    <w:rsid w:val="00422994"/>
    <w:rsid w:val="00422C0D"/>
    <w:rsid w:val="00424C8B"/>
    <w:rsid w:val="004373C3"/>
    <w:rsid w:val="0044583F"/>
    <w:rsid w:val="00460A60"/>
    <w:rsid w:val="00462CA5"/>
    <w:rsid w:val="004661C9"/>
    <w:rsid w:val="00471CF9"/>
    <w:rsid w:val="00471DFD"/>
    <w:rsid w:val="00475CE7"/>
    <w:rsid w:val="00480472"/>
    <w:rsid w:val="00481235"/>
    <w:rsid w:val="004845CF"/>
    <w:rsid w:val="00484D25"/>
    <w:rsid w:val="004A2C18"/>
    <w:rsid w:val="004B2AB1"/>
    <w:rsid w:val="004B3492"/>
    <w:rsid w:val="004D3253"/>
    <w:rsid w:val="004D44B5"/>
    <w:rsid w:val="004E618D"/>
    <w:rsid w:val="004F1694"/>
    <w:rsid w:val="00503B78"/>
    <w:rsid w:val="00515745"/>
    <w:rsid w:val="00527252"/>
    <w:rsid w:val="00556B18"/>
    <w:rsid w:val="005667DA"/>
    <w:rsid w:val="00574BD6"/>
    <w:rsid w:val="00587B02"/>
    <w:rsid w:val="0059067B"/>
    <w:rsid w:val="00596B67"/>
    <w:rsid w:val="005A1632"/>
    <w:rsid w:val="005A49B5"/>
    <w:rsid w:val="005B6D03"/>
    <w:rsid w:val="005D2BFA"/>
    <w:rsid w:val="005D48B0"/>
    <w:rsid w:val="005E1112"/>
    <w:rsid w:val="00642200"/>
    <w:rsid w:val="00665057"/>
    <w:rsid w:val="00666C99"/>
    <w:rsid w:val="00673DAD"/>
    <w:rsid w:val="00673F0A"/>
    <w:rsid w:val="006A3A21"/>
    <w:rsid w:val="006B0EFE"/>
    <w:rsid w:val="006B2306"/>
    <w:rsid w:val="006D1F09"/>
    <w:rsid w:val="006D4E94"/>
    <w:rsid w:val="006D610E"/>
    <w:rsid w:val="006E696B"/>
    <w:rsid w:val="006F0A8C"/>
    <w:rsid w:val="006F3C0B"/>
    <w:rsid w:val="006F6B15"/>
    <w:rsid w:val="007137CC"/>
    <w:rsid w:val="00745C47"/>
    <w:rsid w:val="00750353"/>
    <w:rsid w:val="00754A94"/>
    <w:rsid w:val="00754AB4"/>
    <w:rsid w:val="00763D8C"/>
    <w:rsid w:val="00772ACC"/>
    <w:rsid w:val="00774E4D"/>
    <w:rsid w:val="00776104"/>
    <w:rsid w:val="00777B36"/>
    <w:rsid w:val="00782956"/>
    <w:rsid w:val="007D6606"/>
    <w:rsid w:val="007E14F7"/>
    <w:rsid w:val="007F0C4B"/>
    <w:rsid w:val="007F39F7"/>
    <w:rsid w:val="007F5005"/>
    <w:rsid w:val="008100EB"/>
    <w:rsid w:val="00816E42"/>
    <w:rsid w:val="00822083"/>
    <w:rsid w:val="00822CCD"/>
    <w:rsid w:val="00830488"/>
    <w:rsid w:val="00841F34"/>
    <w:rsid w:val="00843124"/>
    <w:rsid w:val="0084414C"/>
    <w:rsid w:val="008723A9"/>
    <w:rsid w:val="008A69A0"/>
    <w:rsid w:val="008D5A0A"/>
    <w:rsid w:val="00900F60"/>
    <w:rsid w:val="009127B6"/>
    <w:rsid w:val="00917464"/>
    <w:rsid w:val="009307AC"/>
    <w:rsid w:val="009473E4"/>
    <w:rsid w:val="0095045E"/>
    <w:rsid w:val="00950EBF"/>
    <w:rsid w:val="00960639"/>
    <w:rsid w:val="00965216"/>
    <w:rsid w:val="009776DC"/>
    <w:rsid w:val="00980054"/>
    <w:rsid w:val="00990160"/>
    <w:rsid w:val="00992341"/>
    <w:rsid w:val="009B1EB9"/>
    <w:rsid w:val="009B3862"/>
    <w:rsid w:val="009B7867"/>
    <w:rsid w:val="009C1BE7"/>
    <w:rsid w:val="009E2A1F"/>
    <w:rsid w:val="009E60FF"/>
    <w:rsid w:val="00A273E3"/>
    <w:rsid w:val="00A400A5"/>
    <w:rsid w:val="00A4281A"/>
    <w:rsid w:val="00A44BE6"/>
    <w:rsid w:val="00A51FBD"/>
    <w:rsid w:val="00A54969"/>
    <w:rsid w:val="00A75037"/>
    <w:rsid w:val="00A76D9F"/>
    <w:rsid w:val="00A83DE5"/>
    <w:rsid w:val="00A84B75"/>
    <w:rsid w:val="00A8751B"/>
    <w:rsid w:val="00A97113"/>
    <w:rsid w:val="00AD0F66"/>
    <w:rsid w:val="00AD6561"/>
    <w:rsid w:val="00AF19AD"/>
    <w:rsid w:val="00B051CB"/>
    <w:rsid w:val="00B22397"/>
    <w:rsid w:val="00B23D79"/>
    <w:rsid w:val="00B36A1B"/>
    <w:rsid w:val="00B371CF"/>
    <w:rsid w:val="00B44055"/>
    <w:rsid w:val="00B45B86"/>
    <w:rsid w:val="00B61A03"/>
    <w:rsid w:val="00B740D6"/>
    <w:rsid w:val="00B864CE"/>
    <w:rsid w:val="00BC2A61"/>
    <w:rsid w:val="00BC7131"/>
    <w:rsid w:val="00BE3DBC"/>
    <w:rsid w:val="00BE7DB3"/>
    <w:rsid w:val="00BF3719"/>
    <w:rsid w:val="00BF7383"/>
    <w:rsid w:val="00C10F3A"/>
    <w:rsid w:val="00C5255B"/>
    <w:rsid w:val="00C56AD2"/>
    <w:rsid w:val="00C60E36"/>
    <w:rsid w:val="00C66142"/>
    <w:rsid w:val="00C66F8E"/>
    <w:rsid w:val="00C8697E"/>
    <w:rsid w:val="00CB38B4"/>
    <w:rsid w:val="00CB3FD3"/>
    <w:rsid w:val="00CC0BD0"/>
    <w:rsid w:val="00CC6291"/>
    <w:rsid w:val="00CC73F9"/>
    <w:rsid w:val="00CE2CBB"/>
    <w:rsid w:val="00CE6445"/>
    <w:rsid w:val="00CF3063"/>
    <w:rsid w:val="00D07305"/>
    <w:rsid w:val="00D561EB"/>
    <w:rsid w:val="00D562DE"/>
    <w:rsid w:val="00D57D61"/>
    <w:rsid w:val="00D73698"/>
    <w:rsid w:val="00D812AC"/>
    <w:rsid w:val="00D839F5"/>
    <w:rsid w:val="00D87C94"/>
    <w:rsid w:val="00D932CA"/>
    <w:rsid w:val="00DB6965"/>
    <w:rsid w:val="00DC48ED"/>
    <w:rsid w:val="00DF5FAC"/>
    <w:rsid w:val="00E07698"/>
    <w:rsid w:val="00E20B23"/>
    <w:rsid w:val="00E5538A"/>
    <w:rsid w:val="00E55DEB"/>
    <w:rsid w:val="00E6062C"/>
    <w:rsid w:val="00E76B1B"/>
    <w:rsid w:val="00E8550B"/>
    <w:rsid w:val="00EA5933"/>
    <w:rsid w:val="00EA6ADE"/>
    <w:rsid w:val="00ED002C"/>
    <w:rsid w:val="00ED21D0"/>
    <w:rsid w:val="00ED7299"/>
    <w:rsid w:val="00F03E18"/>
    <w:rsid w:val="00F07A1E"/>
    <w:rsid w:val="00F1762B"/>
    <w:rsid w:val="00F37F4C"/>
    <w:rsid w:val="00F412A1"/>
    <w:rsid w:val="00F432E2"/>
    <w:rsid w:val="00F44AC8"/>
    <w:rsid w:val="00F46790"/>
    <w:rsid w:val="00F46DA6"/>
    <w:rsid w:val="00F4765B"/>
    <w:rsid w:val="00F55D1B"/>
    <w:rsid w:val="00F63F0F"/>
    <w:rsid w:val="00F815D8"/>
    <w:rsid w:val="00FB75B6"/>
    <w:rsid w:val="00FD2720"/>
    <w:rsid w:val="00FE2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99"/>
  </w:style>
  <w:style w:type="paragraph" w:styleId="Heading1">
    <w:name w:val="heading 1"/>
    <w:basedOn w:val="Normal"/>
    <w:next w:val="Normal"/>
    <w:link w:val="Heading1Char"/>
    <w:uiPriority w:val="9"/>
    <w:qFormat/>
    <w:rsid w:val="00422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2250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250C6"/>
    <w:rPr>
      <w:rFonts w:ascii="Times New Roman" w:eastAsia="Times New Roman" w:hAnsi="Times New Roman" w:cs="Times New Roman"/>
      <w:b/>
      <w:bCs/>
      <w:sz w:val="36"/>
      <w:szCs w:val="36"/>
    </w:rPr>
  </w:style>
  <w:style w:type="paragraph" w:styleId="CommentText">
    <w:name w:val="annotation text"/>
    <w:basedOn w:val="Normal"/>
    <w:link w:val="CommentTextChar"/>
    <w:uiPriority w:val="99"/>
    <w:unhideWhenUsed/>
    <w:rsid w:val="002250C6"/>
    <w:pPr>
      <w:spacing w:before="100" w:beforeAutospacing="1" w:line="240" w:lineRule="auto"/>
    </w:pPr>
    <w:rPr>
      <w:rFonts w:ascii="Calibri" w:eastAsia="Times New Roman" w:hAnsi="Calibri" w:cs="SimSun"/>
      <w:sz w:val="20"/>
      <w:szCs w:val="20"/>
    </w:rPr>
  </w:style>
  <w:style w:type="character" w:customStyle="1" w:styleId="CommentTextChar">
    <w:name w:val="Comment Text Char"/>
    <w:basedOn w:val="DefaultParagraphFont"/>
    <w:link w:val="CommentText"/>
    <w:uiPriority w:val="99"/>
    <w:rsid w:val="002250C6"/>
    <w:rPr>
      <w:rFonts w:ascii="Calibri" w:eastAsia="Times New Roman" w:hAnsi="Calibri" w:cs="SimSun"/>
      <w:sz w:val="20"/>
      <w:szCs w:val="20"/>
    </w:rPr>
  </w:style>
  <w:style w:type="paragraph" w:styleId="NormalWeb">
    <w:name w:val="Normal (Web)"/>
    <w:basedOn w:val="Normal"/>
    <w:uiPriority w:val="99"/>
    <w:unhideWhenUsed/>
    <w:rsid w:val="002250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50C6"/>
    <w:pPr>
      <w:spacing w:before="100" w:beforeAutospacing="1" w:line="273" w:lineRule="auto"/>
      <w:ind w:left="720"/>
      <w:contextualSpacing/>
    </w:pPr>
    <w:rPr>
      <w:rFonts w:ascii="Calibri" w:eastAsia="Times New Roman" w:hAnsi="Calibri" w:cs="Times New Roman"/>
    </w:rPr>
  </w:style>
  <w:style w:type="character" w:customStyle="1" w:styleId="15">
    <w:name w:val="15"/>
    <w:basedOn w:val="DefaultParagraphFont"/>
    <w:rsid w:val="002250C6"/>
    <w:rPr>
      <w:rFonts w:ascii="Calibri" w:hAnsi="Calibri" w:cs="Calibri" w:hint="default"/>
    </w:rPr>
  </w:style>
  <w:style w:type="character" w:customStyle="1" w:styleId="16">
    <w:name w:val="16"/>
    <w:basedOn w:val="DefaultParagraphFont"/>
    <w:rsid w:val="002250C6"/>
    <w:rPr>
      <w:rFonts w:ascii="Calibri" w:hAnsi="Calibri" w:cs="Calibri" w:hint="default"/>
      <w:color w:val="0000FF"/>
      <w:u w:val="single"/>
    </w:rPr>
  </w:style>
  <w:style w:type="character" w:customStyle="1" w:styleId="17">
    <w:name w:val="17"/>
    <w:basedOn w:val="DefaultParagraphFont"/>
    <w:rsid w:val="002250C6"/>
    <w:rPr>
      <w:rFonts w:ascii="Calibri" w:hAnsi="Calibri" w:cs="Calibri" w:hint="default"/>
      <w:sz w:val="16"/>
      <w:szCs w:val="16"/>
    </w:rPr>
  </w:style>
  <w:style w:type="character" w:customStyle="1" w:styleId="18">
    <w:name w:val="18"/>
    <w:basedOn w:val="DefaultParagraphFont"/>
    <w:rsid w:val="002250C6"/>
    <w:rPr>
      <w:rFonts w:ascii="Calibri" w:hAnsi="Calibri" w:cs="Calibri" w:hint="default"/>
    </w:rPr>
  </w:style>
  <w:style w:type="paragraph" w:styleId="BalloonText">
    <w:name w:val="Balloon Text"/>
    <w:basedOn w:val="Normal"/>
    <w:link w:val="BalloonTextChar"/>
    <w:uiPriority w:val="99"/>
    <w:semiHidden/>
    <w:unhideWhenUsed/>
    <w:rsid w:val="0037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53"/>
    <w:rPr>
      <w:rFonts w:ascii="Tahoma" w:hAnsi="Tahoma" w:cs="Tahoma"/>
      <w:sz w:val="16"/>
      <w:szCs w:val="16"/>
    </w:rPr>
  </w:style>
  <w:style w:type="paragraph" w:styleId="NoSpacing">
    <w:name w:val="No Spacing"/>
    <w:basedOn w:val="Normal"/>
    <w:uiPriority w:val="99"/>
    <w:qFormat/>
    <w:rsid w:val="00372A53"/>
    <w:pPr>
      <w:spacing w:before="100" w:beforeAutospacing="1" w:after="0" w:line="240" w:lineRule="auto"/>
    </w:pPr>
    <w:rPr>
      <w:rFonts w:ascii="Times New Roman" w:eastAsia="Times New Roman" w:hAnsi="Times New Roman" w:cs="Times New Roman"/>
      <w:sz w:val="24"/>
      <w:szCs w:val="24"/>
    </w:rPr>
  </w:style>
  <w:style w:type="table" w:styleId="TableGrid">
    <w:name w:val="Table Grid"/>
    <w:basedOn w:val="TableNormal"/>
    <w:unhideWhenUsed/>
    <w:qFormat/>
    <w:rsid w:val="00372A5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812AC"/>
    <w:rPr>
      <w:color w:val="0000FF"/>
      <w:u w:val="single"/>
    </w:rPr>
  </w:style>
  <w:style w:type="paragraph" w:customStyle="1" w:styleId="Default">
    <w:name w:val="Default"/>
    <w:uiPriority w:val="99"/>
    <w:qFormat/>
    <w:rsid w:val="00B61A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22994"/>
    <w:rPr>
      <w:rFonts w:asciiTheme="majorHAnsi" w:eastAsiaTheme="majorEastAsia" w:hAnsiTheme="majorHAnsi" w:cstheme="majorBidi"/>
      <w:b/>
      <w:bCs/>
      <w:color w:val="365F91" w:themeColor="accent1" w:themeShade="BF"/>
      <w:sz w:val="28"/>
      <w:szCs w:val="28"/>
    </w:rPr>
  </w:style>
  <w:style w:type="character" w:customStyle="1" w:styleId="nlmyear">
    <w:name w:val="nlm_year"/>
    <w:basedOn w:val="DefaultParagraphFont"/>
    <w:rsid w:val="00673F0A"/>
  </w:style>
  <w:style w:type="character" w:customStyle="1" w:styleId="nlmarticle-title">
    <w:name w:val="nlm_article-title"/>
    <w:basedOn w:val="DefaultParagraphFont"/>
    <w:rsid w:val="00673F0A"/>
  </w:style>
  <w:style w:type="character" w:customStyle="1" w:styleId="nlmfpage">
    <w:name w:val="nlm_fpage"/>
    <w:basedOn w:val="DefaultParagraphFont"/>
    <w:rsid w:val="00673F0A"/>
  </w:style>
  <w:style w:type="character" w:customStyle="1" w:styleId="nlmlpage">
    <w:name w:val="nlm_lpage"/>
    <w:basedOn w:val="DefaultParagraphFont"/>
    <w:rsid w:val="00673F0A"/>
  </w:style>
  <w:style w:type="character" w:customStyle="1" w:styleId="nlmpublisher-name">
    <w:name w:val="nlm_publisher-name"/>
    <w:basedOn w:val="DefaultParagraphFont"/>
    <w:rsid w:val="00673F0A"/>
  </w:style>
  <w:style w:type="paragraph" w:styleId="BodyTextIndent2">
    <w:name w:val="Body Text Indent 2"/>
    <w:basedOn w:val="Normal"/>
    <w:link w:val="BodyTextIndent2Char"/>
    <w:uiPriority w:val="99"/>
    <w:unhideWhenUsed/>
    <w:rsid w:val="005D48B0"/>
    <w:pPr>
      <w:spacing w:before="100" w:beforeAutospacing="1"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5D48B0"/>
    <w:rPr>
      <w:rFonts w:ascii="Calibri" w:eastAsia="Times New Roman" w:hAnsi="Calibri" w:cs="Times New Roman"/>
    </w:rPr>
  </w:style>
  <w:style w:type="paragraph" w:styleId="BodyText">
    <w:name w:val="Body Text"/>
    <w:basedOn w:val="Normal"/>
    <w:link w:val="BodyTextChar"/>
    <w:uiPriority w:val="99"/>
    <w:unhideWhenUsed/>
    <w:rsid w:val="005D48B0"/>
    <w:pPr>
      <w:spacing w:before="100" w:beforeAutospacing="1" w:after="120" w:line="240" w:lineRule="auto"/>
    </w:pPr>
    <w:rPr>
      <w:rFonts w:ascii="Verdana" w:eastAsia="Times New Roman" w:hAnsi="Verdana" w:cs="Times New Roman"/>
      <w:sz w:val="26"/>
      <w:szCs w:val="26"/>
    </w:rPr>
  </w:style>
  <w:style w:type="character" w:customStyle="1" w:styleId="BodyTextChar">
    <w:name w:val="Body Text Char"/>
    <w:basedOn w:val="DefaultParagraphFont"/>
    <w:link w:val="BodyText"/>
    <w:uiPriority w:val="99"/>
    <w:rsid w:val="005D48B0"/>
    <w:rPr>
      <w:rFonts w:ascii="Verdana" w:eastAsia="Times New Roman" w:hAnsi="Verdana" w:cs="Times New Roman"/>
      <w:sz w:val="26"/>
      <w:szCs w:val="26"/>
    </w:rPr>
  </w:style>
  <w:style w:type="character" w:styleId="Emphasis">
    <w:name w:val="Emphasis"/>
    <w:basedOn w:val="DefaultParagraphFont"/>
    <w:uiPriority w:val="20"/>
    <w:qFormat/>
    <w:rsid w:val="005D48B0"/>
    <w:rPr>
      <w:i/>
      <w:iCs/>
    </w:rPr>
  </w:style>
  <w:style w:type="paragraph" w:styleId="Header">
    <w:name w:val="header"/>
    <w:basedOn w:val="Normal"/>
    <w:link w:val="HeaderChar"/>
    <w:uiPriority w:val="99"/>
    <w:unhideWhenUsed/>
    <w:rsid w:val="00210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BD3"/>
  </w:style>
  <w:style w:type="paragraph" w:styleId="Footer">
    <w:name w:val="footer"/>
    <w:basedOn w:val="Normal"/>
    <w:link w:val="FooterChar"/>
    <w:uiPriority w:val="99"/>
    <w:unhideWhenUsed/>
    <w:rsid w:val="00210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BD3"/>
  </w:style>
  <w:style w:type="table" w:customStyle="1" w:styleId="LightShading">
    <w:name w:val="Light Shading"/>
    <w:basedOn w:val="TableNormal"/>
    <w:uiPriority w:val="60"/>
    <w:unhideWhenUsed/>
    <w:qFormat/>
    <w:rsid w:val="00503B78"/>
    <w:pPr>
      <w:spacing w:after="0" w:line="240" w:lineRule="auto"/>
    </w:pPr>
    <w:rPr>
      <w:rFonts w:eastAsiaTheme="minorHAnsi"/>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2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2250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250C6"/>
    <w:rPr>
      <w:rFonts w:ascii="Times New Roman" w:eastAsia="Times New Roman" w:hAnsi="Times New Roman" w:cs="Times New Roman"/>
      <w:b/>
      <w:bCs/>
      <w:sz w:val="36"/>
      <w:szCs w:val="36"/>
    </w:rPr>
  </w:style>
  <w:style w:type="paragraph" w:styleId="CommentText">
    <w:name w:val="annotation text"/>
    <w:basedOn w:val="Normal"/>
    <w:link w:val="CommentTextChar"/>
    <w:uiPriority w:val="99"/>
    <w:unhideWhenUsed/>
    <w:rsid w:val="002250C6"/>
    <w:pPr>
      <w:spacing w:before="100" w:beforeAutospacing="1" w:line="240" w:lineRule="auto"/>
    </w:pPr>
    <w:rPr>
      <w:rFonts w:ascii="Calibri" w:eastAsia="Times New Roman" w:hAnsi="Calibri" w:cs="SimSun"/>
      <w:sz w:val="20"/>
      <w:szCs w:val="20"/>
    </w:rPr>
  </w:style>
  <w:style w:type="character" w:customStyle="1" w:styleId="CommentTextChar">
    <w:name w:val="Comment Text Char"/>
    <w:basedOn w:val="DefaultParagraphFont"/>
    <w:link w:val="CommentText"/>
    <w:uiPriority w:val="99"/>
    <w:rsid w:val="002250C6"/>
    <w:rPr>
      <w:rFonts w:ascii="Calibri" w:eastAsia="Times New Roman" w:hAnsi="Calibri" w:cs="SimSun"/>
      <w:sz w:val="20"/>
      <w:szCs w:val="20"/>
    </w:rPr>
  </w:style>
  <w:style w:type="paragraph" w:styleId="NormalWeb">
    <w:name w:val="Normal (Web)"/>
    <w:basedOn w:val="Normal"/>
    <w:uiPriority w:val="99"/>
    <w:unhideWhenUsed/>
    <w:rsid w:val="002250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50C6"/>
    <w:pPr>
      <w:spacing w:before="100" w:beforeAutospacing="1" w:line="273" w:lineRule="auto"/>
      <w:ind w:left="720"/>
      <w:contextualSpacing/>
    </w:pPr>
    <w:rPr>
      <w:rFonts w:ascii="Calibri" w:eastAsia="Times New Roman" w:hAnsi="Calibri" w:cs="Times New Roman"/>
    </w:rPr>
  </w:style>
  <w:style w:type="character" w:customStyle="1" w:styleId="15">
    <w:name w:val="15"/>
    <w:basedOn w:val="DefaultParagraphFont"/>
    <w:rsid w:val="002250C6"/>
    <w:rPr>
      <w:rFonts w:ascii="Calibri" w:hAnsi="Calibri" w:cs="Calibri" w:hint="default"/>
    </w:rPr>
  </w:style>
  <w:style w:type="character" w:customStyle="1" w:styleId="16">
    <w:name w:val="16"/>
    <w:basedOn w:val="DefaultParagraphFont"/>
    <w:rsid w:val="002250C6"/>
    <w:rPr>
      <w:rFonts w:ascii="Calibri" w:hAnsi="Calibri" w:cs="Calibri" w:hint="default"/>
      <w:color w:val="0000FF"/>
      <w:u w:val="single"/>
    </w:rPr>
  </w:style>
  <w:style w:type="character" w:customStyle="1" w:styleId="17">
    <w:name w:val="17"/>
    <w:basedOn w:val="DefaultParagraphFont"/>
    <w:rsid w:val="002250C6"/>
    <w:rPr>
      <w:rFonts w:ascii="Calibri" w:hAnsi="Calibri" w:cs="Calibri" w:hint="default"/>
      <w:sz w:val="16"/>
      <w:szCs w:val="16"/>
    </w:rPr>
  </w:style>
  <w:style w:type="character" w:customStyle="1" w:styleId="18">
    <w:name w:val="18"/>
    <w:basedOn w:val="DefaultParagraphFont"/>
    <w:rsid w:val="002250C6"/>
    <w:rPr>
      <w:rFonts w:ascii="Calibri" w:hAnsi="Calibri" w:cs="Calibri" w:hint="default"/>
    </w:rPr>
  </w:style>
  <w:style w:type="paragraph" w:styleId="BalloonText">
    <w:name w:val="Balloon Text"/>
    <w:basedOn w:val="Normal"/>
    <w:link w:val="BalloonTextChar"/>
    <w:uiPriority w:val="99"/>
    <w:semiHidden/>
    <w:unhideWhenUsed/>
    <w:rsid w:val="0037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53"/>
    <w:rPr>
      <w:rFonts w:ascii="Tahoma" w:hAnsi="Tahoma" w:cs="Tahoma"/>
      <w:sz w:val="16"/>
      <w:szCs w:val="16"/>
    </w:rPr>
  </w:style>
  <w:style w:type="paragraph" w:styleId="NoSpacing">
    <w:name w:val="No Spacing"/>
    <w:basedOn w:val="Normal"/>
    <w:uiPriority w:val="99"/>
    <w:qFormat/>
    <w:rsid w:val="00372A53"/>
    <w:pPr>
      <w:spacing w:before="100" w:beforeAutospacing="1" w:after="0" w:line="240" w:lineRule="auto"/>
    </w:pPr>
    <w:rPr>
      <w:rFonts w:ascii="Times New Roman" w:eastAsia="Times New Roman" w:hAnsi="Times New Roman" w:cs="Times New Roman"/>
      <w:sz w:val="24"/>
      <w:szCs w:val="24"/>
    </w:rPr>
  </w:style>
  <w:style w:type="table" w:styleId="TableGrid">
    <w:name w:val="Table Grid"/>
    <w:basedOn w:val="TableNormal"/>
    <w:unhideWhenUsed/>
    <w:qFormat/>
    <w:rsid w:val="00372A5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812AC"/>
    <w:rPr>
      <w:color w:val="0000FF"/>
      <w:u w:val="single"/>
    </w:rPr>
  </w:style>
  <w:style w:type="paragraph" w:customStyle="1" w:styleId="Default">
    <w:name w:val="Default"/>
    <w:uiPriority w:val="99"/>
    <w:qFormat/>
    <w:rsid w:val="00B61A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22994"/>
    <w:rPr>
      <w:rFonts w:asciiTheme="majorHAnsi" w:eastAsiaTheme="majorEastAsia" w:hAnsiTheme="majorHAnsi" w:cstheme="majorBidi"/>
      <w:b/>
      <w:bCs/>
      <w:color w:val="365F91" w:themeColor="accent1" w:themeShade="BF"/>
      <w:sz w:val="28"/>
      <w:szCs w:val="28"/>
    </w:rPr>
  </w:style>
  <w:style w:type="character" w:customStyle="1" w:styleId="nlmyear">
    <w:name w:val="nlm_year"/>
    <w:basedOn w:val="DefaultParagraphFont"/>
    <w:rsid w:val="00673F0A"/>
  </w:style>
  <w:style w:type="character" w:customStyle="1" w:styleId="nlmarticle-title">
    <w:name w:val="nlm_article-title"/>
    <w:basedOn w:val="DefaultParagraphFont"/>
    <w:rsid w:val="00673F0A"/>
  </w:style>
  <w:style w:type="character" w:customStyle="1" w:styleId="nlmfpage">
    <w:name w:val="nlm_fpage"/>
    <w:basedOn w:val="DefaultParagraphFont"/>
    <w:rsid w:val="00673F0A"/>
  </w:style>
  <w:style w:type="character" w:customStyle="1" w:styleId="nlmlpage">
    <w:name w:val="nlm_lpage"/>
    <w:basedOn w:val="DefaultParagraphFont"/>
    <w:rsid w:val="00673F0A"/>
  </w:style>
  <w:style w:type="character" w:customStyle="1" w:styleId="nlmpublisher-name">
    <w:name w:val="nlm_publisher-name"/>
    <w:basedOn w:val="DefaultParagraphFont"/>
    <w:rsid w:val="00673F0A"/>
  </w:style>
  <w:style w:type="paragraph" w:styleId="BodyTextIndent2">
    <w:name w:val="Body Text Indent 2"/>
    <w:basedOn w:val="Normal"/>
    <w:link w:val="BodyTextIndent2Char"/>
    <w:uiPriority w:val="99"/>
    <w:unhideWhenUsed/>
    <w:rsid w:val="005D48B0"/>
    <w:pPr>
      <w:spacing w:before="100" w:beforeAutospacing="1"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5D48B0"/>
    <w:rPr>
      <w:rFonts w:ascii="Calibri" w:eastAsia="Times New Roman" w:hAnsi="Calibri" w:cs="Times New Roman"/>
    </w:rPr>
  </w:style>
  <w:style w:type="paragraph" w:styleId="BodyText">
    <w:name w:val="Body Text"/>
    <w:basedOn w:val="Normal"/>
    <w:link w:val="BodyTextChar"/>
    <w:uiPriority w:val="99"/>
    <w:unhideWhenUsed/>
    <w:rsid w:val="005D48B0"/>
    <w:pPr>
      <w:spacing w:before="100" w:beforeAutospacing="1" w:after="120" w:line="240" w:lineRule="auto"/>
    </w:pPr>
    <w:rPr>
      <w:rFonts w:ascii="Verdana" w:eastAsia="Times New Roman" w:hAnsi="Verdana" w:cs="Times New Roman"/>
      <w:sz w:val="26"/>
      <w:szCs w:val="26"/>
    </w:rPr>
  </w:style>
  <w:style w:type="character" w:customStyle="1" w:styleId="BodyTextChar">
    <w:name w:val="Body Text Char"/>
    <w:basedOn w:val="DefaultParagraphFont"/>
    <w:link w:val="BodyText"/>
    <w:uiPriority w:val="99"/>
    <w:rsid w:val="005D48B0"/>
    <w:rPr>
      <w:rFonts w:ascii="Verdana" w:eastAsia="Times New Roman" w:hAnsi="Verdana" w:cs="Times New Roman"/>
      <w:sz w:val="26"/>
      <w:szCs w:val="26"/>
    </w:rPr>
  </w:style>
  <w:style w:type="character" w:styleId="Emphasis">
    <w:name w:val="Emphasis"/>
    <w:basedOn w:val="DefaultParagraphFont"/>
    <w:uiPriority w:val="20"/>
    <w:qFormat/>
    <w:rsid w:val="005D48B0"/>
    <w:rPr>
      <w:i/>
      <w:iCs/>
    </w:rPr>
  </w:style>
  <w:style w:type="paragraph" w:styleId="Header">
    <w:name w:val="header"/>
    <w:basedOn w:val="Normal"/>
    <w:link w:val="HeaderChar"/>
    <w:uiPriority w:val="99"/>
    <w:unhideWhenUsed/>
    <w:rsid w:val="00210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BD3"/>
  </w:style>
  <w:style w:type="paragraph" w:styleId="Footer">
    <w:name w:val="footer"/>
    <w:basedOn w:val="Normal"/>
    <w:link w:val="FooterChar"/>
    <w:uiPriority w:val="99"/>
    <w:unhideWhenUsed/>
    <w:rsid w:val="00210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BD3"/>
  </w:style>
  <w:style w:type="table" w:styleId="LightShading">
    <w:name w:val="Light Shading"/>
    <w:basedOn w:val="TableNormal"/>
    <w:uiPriority w:val="60"/>
    <w:unhideWhenUsed/>
    <w:qFormat/>
    <w:rsid w:val="00503B78"/>
    <w:pPr>
      <w:spacing w:after="0" w:line="240" w:lineRule="auto"/>
    </w:pPr>
    <w:rPr>
      <w:rFonts w:eastAsiaTheme="minorHAnsi"/>
      <w:color w:val="000000" w:themeColor="text1" w:themeShade="BF"/>
      <w:sz w:val="20"/>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432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heowp.org/reports/floods-and-food-shortages-threaten-to-push-nigeria-into-a-food-crisis/" TargetMode="External"/><Relationship Id="rId26" Type="http://schemas.openxmlformats.org/officeDocument/2006/relationships/hyperlink" Target="https://doi.org/10.3390/su142215476" TargetMode="External"/><Relationship Id="rId39" Type="http://schemas.openxmlformats.org/officeDocument/2006/relationships/hyperlink" Target="https://guardian.ng/opinion/funding-of-university-education-in-nigeria/" TargetMode="External"/><Relationship Id="rId21" Type="http://schemas.openxmlformats.org/officeDocument/2006/relationships/hyperlink" Target="https://guardian.ng/business-services/covid-19-could-cost-nigerian-airlines-434-million-22200-job%20s/" TargetMode="External"/><Relationship Id="rId34" Type="http://schemas.openxmlformats.org/officeDocument/2006/relationships/hyperlink" Target="https://doi.org/10.1007/978-981-19-4859-6_5" TargetMode="External"/><Relationship Id="rId42" Type="http://schemas.openxmlformats.org/officeDocument/2006/relationships/hyperlink" Target="https://doi.org/10.1016/j.jclepro.2014.11.076" TargetMode="External"/><Relationship Id="rId47" Type="http://schemas.openxmlformats.org/officeDocument/2006/relationships/hyperlink" Target="https://doi.org/10.19030/jier.v7i4.6051" TargetMode="External"/><Relationship Id="rId50" Type="http://schemas.openxmlformats.org/officeDocument/2006/relationships/hyperlink" Target="https://doi.org/10.1016/j.geosus.2021.05.001" TargetMode="External"/><Relationship Id="rId55" Type="http://schemas.openxmlformats.org/officeDocument/2006/relationships/hyperlink" Target="https://doi.org/10.5901/mjss.2011.v2n5p55" TargetMode="External"/><Relationship Id="rId63" Type="http://schemas.openxmlformats.org/officeDocument/2006/relationships/hyperlink" Target="http://www.oecd.org/edu/evaluationpoli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16/j.heliyon.2021.e07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02/pa.2786" TargetMode="External"/><Relationship Id="rId32" Type="http://schemas.openxmlformats.org/officeDocument/2006/relationships/hyperlink" Target="http://www.wttc.org/bin/pdf/original_pdf_file/pandp_final2_low_res.pdf" TargetMode="External"/><Relationship Id="rId37" Type="http://schemas.openxmlformats.org/officeDocument/2006/relationships/hyperlink" Target="https://doi.org/10.1007/s10734-020-00652-w" TargetMode="External"/><Relationship Id="rId40" Type="http://schemas.openxmlformats.org/officeDocument/2006/relationships/hyperlink" Target="https://doi.org/10.4314/gjedr.v18i2.3" TargetMode="External"/><Relationship Id="rId45" Type="http://schemas.openxmlformats.org/officeDocument/2006/relationships/hyperlink" Target="https://doi.org/10.1016/j.jclepro.2019.118884" TargetMode="External"/><Relationship Id="rId53" Type="http://schemas.openxmlformats.org/officeDocument/2006/relationships/hyperlink" Target="mailto:ebiibassey@yahoo.com" TargetMode="External"/><Relationship Id="rId58" Type="http://schemas.openxmlformats.org/officeDocument/2006/relationships/hyperlink" Target="mailto:ushiepatienceapu@gmail.co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who.int/newsroom/q-a-detail/q-a-coronaviruses" TargetMode="External"/><Relationship Id="rId28" Type="http://schemas.openxmlformats.org/officeDocument/2006/relationships/hyperlink" Target="https://doi.org/10.3390/su141912550" TargetMode="External"/><Relationship Id="rId36" Type="http://schemas.openxmlformats.org/officeDocument/2006/relationships/hyperlink" Target="https://doi.org/10.1023/A:1003190525479" TargetMode="External"/><Relationship Id="rId49" Type="http://schemas.openxmlformats.org/officeDocument/2006/relationships/hyperlink" Target="https://www.researchgate.net/publication/307974881" TargetMode="External"/><Relationship Id="rId57" Type="http://schemas.openxmlformats.org/officeDocument/2006/relationships/hyperlink" Target="mailto:eagnes@unical.edu.ng" TargetMode="External"/><Relationship Id="rId61"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hyperlink" Target="https://digitalscholarship.tsu.edu/assr/vol6/iss1/1/" TargetMode="External"/><Relationship Id="rId31" Type="http://schemas.openxmlformats.org/officeDocument/2006/relationships/hyperlink" Target="https://www.who.int/newsroom/q-a-detail/q-a-coronaviruses" TargetMode="External"/><Relationship Id="rId44" Type="http://schemas.openxmlformats.org/officeDocument/2006/relationships/hyperlink" Target="https://doi.org/10.3390/su12218953" TargetMode="External"/><Relationship Id="rId52" Type="http://schemas.openxmlformats.org/officeDocument/2006/relationships/hyperlink" Target="mailto:eagnes@unical.edu.ng" TargetMode="External"/><Relationship Id="rId60" Type="http://schemas.openxmlformats.org/officeDocument/2006/relationships/oleObject" Target="embeddings/oleObject1.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jorved.com" TargetMode="External"/><Relationship Id="rId14" Type="http://schemas.openxmlformats.org/officeDocument/2006/relationships/footer" Target="footer2.xml"/><Relationship Id="rId22" Type="http://schemas.openxmlformats.org/officeDocument/2006/relationships/hyperlink" Target="https://doi.org/10.1136/bmjopen-2020-039674" TargetMode="External"/><Relationship Id="rId27" Type="http://schemas.openxmlformats.org/officeDocument/2006/relationships/hyperlink" Target="https://www.ilo.org/wcmsp5/groups/public/---dgreports/--dcomm/documents/briefingnote/wcms738753.pdf" TargetMode="External"/><Relationship Id="rId30" Type="http://schemas.openxmlformats.org/officeDocument/2006/relationships/hyperlink" Target="https://doi.org/10.1080/23311886.2022.2041290" TargetMode="External"/><Relationship Id="rId35" Type="http://schemas.openxmlformats.org/officeDocument/2006/relationships/hyperlink" Target="https://doi.org/10.5296/jse.v1i1.1031" TargetMode="External"/><Relationship Id="rId43" Type="http://schemas.openxmlformats.org/officeDocument/2006/relationships/hyperlink" Target="https://doi.org/10.1016/j.econedurev.2003.09.004" TargetMode="External"/><Relationship Id="rId48" Type="http://schemas.openxmlformats.org/officeDocument/2006/relationships/hyperlink" Target="https://doi.org/10.1016/j.apenergy.2012.05.010" TargetMode="External"/><Relationship Id="rId56" Type="http://schemas.openxmlformats.org/officeDocument/2006/relationships/hyperlink" Target="https://doi.org/10.5901/mjss.2011.v2n5p55" TargetMode="External"/><Relationship Id="rId64" Type="http://schemas.openxmlformats.org/officeDocument/2006/relationships/hyperlink" Target="mailto:akposi2014@gmail.com" TargetMode="External"/><Relationship Id="rId8" Type="http://schemas.openxmlformats.org/officeDocument/2006/relationships/hyperlink" Target="http://www.ijorved.com" TargetMode="External"/><Relationship Id="rId51" Type="http://schemas.openxmlformats.org/officeDocument/2006/relationships/hyperlink" Target="https://doi.org/10.16922/wje.11.1.4"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doi.org/10.1016/j.ijhm.2020.102654" TargetMode="External"/><Relationship Id="rId33" Type="http://schemas.openxmlformats.org/officeDocument/2006/relationships/hyperlink" Target="mailto:ekpejeh@yahoo.com" TargetMode="External"/><Relationship Id="rId38" Type="http://schemas.openxmlformats.org/officeDocument/2006/relationships/hyperlink" Target="https://doi.org/10.5296/ijhrs.v5i2.7840" TargetMode="External"/><Relationship Id="rId46" Type="http://schemas.openxmlformats.org/officeDocument/2006/relationships/hyperlink" Target="https://doi.org/10.1080/01619560701649232" TargetMode="External"/><Relationship Id="rId59" Type="http://schemas.openxmlformats.org/officeDocument/2006/relationships/image" Target="media/image3.wmf"/><Relationship Id="rId67" Type="http://schemas.microsoft.com/office/2007/relationships/stylesWithEffects" Target="stylesWithEffects.xml"/><Relationship Id="rId20" Type="http://schemas.openxmlformats.org/officeDocument/2006/relationships/hyperlink" Target="mailto:odokedmondasu@gmail.com" TargetMode="External"/><Relationship Id="rId41" Type="http://schemas.openxmlformats.org/officeDocument/2006/relationships/hyperlink" Target="https://doi.org/10.9734/JESBS/2017/34494" TargetMode="External"/><Relationship Id="rId54" Type="http://schemas.openxmlformats.org/officeDocument/2006/relationships/hyperlink" Target="https://doi.org/10.5901/mjss.2011.v2n5p55" TargetMode="External"/><Relationship Id="rId62" Type="http://schemas.openxmlformats.org/officeDocument/2006/relationships/hyperlink" Target="https://journals.sagepub.com/doi/full/10.1177/2158244020925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0166-B124-420D-BC79-C5DA3995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44661</Words>
  <Characters>254573</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DR. E. E. OKON</dc:creator>
  <cp:lastModifiedBy>PST. DR. E. E. OKON</cp:lastModifiedBy>
  <cp:revision>2</cp:revision>
  <dcterms:created xsi:type="dcterms:W3CDTF">2025-06-11T18:33:00Z</dcterms:created>
  <dcterms:modified xsi:type="dcterms:W3CDTF">2025-06-11T18:33:00Z</dcterms:modified>
</cp:coreProperties>
</file>